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595959"/>
          <w:sz w:val="18"/>
        </w:rPr>
        <w:t>PARTICIPANT HANDOUT 14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32"/>
        </w:rPr>
        <w:t>Plenary feedback criteria and commitment card</w:t>
      </w:r>
    </w:p>
    <w:p>
      <w:pPr>
        <w:spacing w:before="0" w:after="200"/>
      </w:pPr>
      <w:r>
        <w:rPr>
          <w:rFonts w:ascii="Calibri" w:hAnsi="Calibri"/>
          <w:b/>
          <w:i w:val="0"/>
          <w:color w:val="0D6652"/>
          <w:sz w:val="20"/>
        </w:rPr>
        <w:t>Session 14 — Day four, 11:00–12:30   ·   All participants</w:t>
      </w:r>
    </w:p>
    <w:p>
      <w:pPr>
        <w:spacing w:before="0" w:after="80"/>
      </w:pPr>
      <w:r>
        <w:rPr>
          <w:rFonts w:ascii="Calibri" w:hAnsi="Calibri"/>
          <w:b/>
          <w:i w:val="0"/>
          <w:color w:val="0D6652"/>
          <w:sz w:val="28"/>
        </w:rPr>
        <w:t>Part 1 — Feedback criteria</w:t>
      </w:r>
    </w:p>
    <w:p>
      <w:pPr>
        <w:spacing w:before="0" w:after="80"/>
      </w:pPr>
      <w:r>
        <w:rPr>
          <w:rFonts w:ascii="Calibri" w:hAnsi="Calibri"/>
          <w:b w:val="0"/>
          <w:i/>
          <w:color w:val="595959"/>
          <w:sz w:val="20"/>
        </w:rPr>
        <w:t>Use these while each group presents. Note one answer per presentation.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45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158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Group 1</w:t>
            </w:r>
          </w:p>
        </w:tc>
        <w:tc>
          <w:tcPr>
            <w:tcW w:type="dxa" w:w="158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Group 2</w:t>
            </w:r>
          </w:p>
        </w:tc>
        <w:tc>
          <w:tcPr>
            <w:tcW w:type="dxa" w:w="158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Group 3</w:t>
            </w:r>
          </w:p>
        </w:tc>
        <w:tc>
          <w:tcPr>
            <w:tcW w:type="dxa" w:w="158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Group 4</w:t>
            </w:r>
          </w:p>
        </w:tc>
      </w:tr>
      <w:tr>
        <w:trPr>
          <w:trHeight w:val="1080"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Would this work in your institution? If not, what specifically would stop it?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</w:tr>
      <w:tr>
        <w:trPr>
          <w:trHeight w:val="1080"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Is the first step genuinely within the named owner’s control?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</w:tr>
      <w:tr>
        <w:trPr>
          <w:trHeight w:val="1080"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Who does this reach, and who does it miss?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</w:tr>
      <w:tr>
        <w:trPr>
          <w:trHeight w:val="1080"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What would you, personally or institutionally, have to do for this to succeed?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</w:tr>
    </w:tbl>
    <w:p>
      <w:pPr>
        <w:spacing w:after="40"/>
      </w:pPr>
    </w:p>
    <w:p>
      <w:pPr>
        <w:spacing w:before="0" w:after="200"/>
      </w:pPr>
      <w:r>
        <w:rPr>
          <w:rFonts w:ascii="Calibri" w:hAnsi="Calibri"/>
          <w:b w:val="0"/>
          <w:i/>
          <w:color w:val="E72F1F"/>
          <w:sz w:val="20"/>
        </w:rPr>
        <w:t>The fourth question is the one that turns an audience into participants.</w:t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i w:val="0"/>
          <w:color w:val="0D6652"/>
          <w:sz w:val="28"/>
        </w:rPr>
        <w:t>Part 2 — My 30-day commitment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0"/>
      </w:tblGrid>
      <w:tr>
        <w:tc>
          <w:tcPr>
            <w:tcW w:type="dxa" w:w="10080"/>
            <w:shd w:val="clear" w:color="auto" w:fill="E72F1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THE RULE</w:t>
            </w:r>
            <w:r>
              <w:rPr>
                <w:rFonts w:ascii="Calibri" w:hAnsi="Calibri"/>
                <w:color w:val="D6E4E0"/>
                <w:sz w:val="20"/>
              </w:rPr>
              <w:t xml:space="preserve">    It must be within your own authority. Not something you will propose — something you will do.</w:t>
            </w:r>
          </w:p>
        </w:tc>
      </w:tr>
    </w:tbl>
    <w:p>
      <w:pPr>
        <w:spacing w:after="40"/>
      </w:pPr>
    </w:p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662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</w:tr>
      <w:tr>
        <w:trPr>
          <w:trHeight w:val="1080"/>
        </w:trPr>
        <w:tc>
          <w:tcPr>
            <w:tcW w:type="dxa" w:w="316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Name</w:t>
            </w:r>
          </w:p>
        </w:tc>
        <w:tc>
          <w:tcPr>
            <w:tcW w:type="dxa" w:w="6624"/>
          </w:tcPr>
          <w:p/>
        </w:tc>
      </w:tr>
      <w:tr>
        <w:trPr>
          <w:trHeight w:val="1080"/>
        </w:trPr>
        <w:tc>
          <w:tcPr>
            <w:tcW w:type="dxa" w:w="316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Institution and role</w:t>
            </w:r>
          </w:p>
        </w:tc>
        <w:tc>
          <w:tcPr>
            <w:tcW w:type="dxa" w:w="6624"/>
          </w:tcPr>
          <w:p/>
        </w:tc>
      </w:tr>
      <w:tr>
        <w:trPr>
          <w:trHeight w:val="1080"/>
        </w:trPr>
        <w:tc>
          <w:tcPr>
            <w:tcW w:type="dxa" w:w="316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Within 30 days of returning, I will</w:t>
            </w:r>
          </w:p>
        </w:tc>
        <w:tc>
          <w:tcPr>
            <w:tcW w:type="dxa" w:w="6624"/>
          </w:tcPr>
          <w:p/>
        </w:tc>
      </w:tr>
      <w:tr>
        <w:trPr>
          <w:trHeight w:val="1080"/>
        </w:trPr>
        <w:tc>
          <w:tcPr>
            <w:tcW w:type="dxa" w:w="316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By this date</w:t>
            </w:r>
          </w:p>
        </w:tc>
        <w:tc>
          <w:tcPr>
            <w:tcW w:type="dxa" w:w="6624"/>
          </w:tcPr>
          <w:p/>
        </w:tc>
      </w:tr>
      <w:tr>
        <w:trPr>
          <w:trHeight w:val="1080"/>
        </w:trPr>
        <w:tc>
          <w:tcPr>
            <w:tcW w:type="dxa" w:w="316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 will know it is done when</w:t>
            </w:r>
          </w:p>
        </w:tc>
        <w:tc>
          <w:tcPr>
            <w:tcW w:type="dxa" w:w="6624"/>
          </w:tcPr>
          <w:p/>
        </w:tc>
      </w:tr>
    </w:tbl>
    <w:p>
      <w:pPr>
        <w:spacing w:after="40"/>
      </w:pPr>
    </w:p>
    <w:p>
      <w:pPr>
        <w:spacing w:before="120" w:after="80"/>
      </w:pPr>
      <w:r>
        <w:rPr>
          <w:rFonts w:ascii="Calibri" w:hAnsi="Calibri"/>
          <w:b w:val="0"/>
          <w:i/>
          <w:color w:val="595959"/>
          <w:sz w:val="20"/>
        </w:rPr>
        <w:t>Keep this card. The facilitation team photographs them for the course record.</w:t>
      </w:r>
    </w:p>
    <w:p>
      <w:pPr>
        <w:spacing w:before="200" w:after="60"/>
      </w:pPr>
      <w:r>
        <w:rPr>
          <w:rFonts w:ascii="Calibri" w:hAnsi="Calibri"/>
          <w:b/>
          <w:i w:val="0"/>
          <w:color w:val="0E2841"/>
          <w:sz w:val="23"/>
        </w:rPr>
        <w:t>Examples at the right scale</w:t>
      </w:r>
    </w:p>
    <w:p>
      <w:pPr>
        <w:spacing w:before="0" w:after="60"/>
        <w:ind w:left="605" w:hanging="288"/>
      </w:pPr>
      <w:r>
        <w:rPr>
          <w:rFonts w:ascii="Calibri" w:hAnsi="Calibri"/>
          <w:b/>
          <w:color w:val="E72F1F"/>
          <w:sz w:val="16"/>
        </w:rPr>
        <w:t xml:space="preserve">●  </w:t>
      </w:r>
      <w:r>
        <w:rPr>
          <w:rFonts w:ascii="Calibri" w:hAnsi="Calibri"/>
          <w:sz w:val="21"/>
        </w:rPr>
        <w:t>"I will ask, at the next meeting, who owns each conclusion we adopt — before we adopt it."</w:t>
      </w:r>
    </w:p>
    <w:p>
      <w:pPr>
        <w:spacing w:before="0" w:after="60"/>
        <w:ind w:left="605" w:hanging="288"/>
      </w:pPr>
      <w:r>
        <w:rPr>
          <w:rFonts w:ascii="Calibri" w:hAnsi="Calibri"/>
          <w:b/>
          <w:color w:val="E72F1F"/>
          <w:sz w:val="16"/>
        </w:rPr>
        <w:t xml:space="preserve">●  </w:t>
      </w:r>
      <w:r>
        <w:rPr>
          <w:rFonts w:ascii="Calibri" w:hAnsi="Calibri"/>
          <w:sz w:val="21"/>
        </w:rPr>
        <w:t>"I will add a reach statement to our paper template and use it on the next paper I draft."</w:t>
      </w:r>
    </w:p>
    <w:p>
      <w:pPr>
        <w:spacing w:before="0" w:after="60"/>
        <w:ind w:left="605" w:hanging="288"/>
      </w:pPr>
      <w:r>
        <w:rPr>
          <w:rFonts w:ascii="Calibri" w:hAnsi="Calibri"/>
          <w:b/>
          <w:color w:val="E72F1F"/>
          <w:sz w:val="16"/>
        </w:rPr>
        <w:t xml:space="preserve">●  </w:t>
      </w:r>
      <w:r>
        <w:rPr>
          <w:rFonts w:ascii="Calibri" w:hAnsi="Calibri"/>
          <w:sz w:val="21"/>
        </w:rPr>
        <w:t>"I will extract every conclusion from the last two years of minutes into a single register."</w:t>
      </w:r>
    </w:p>
    <w:p>
      <w:pPr>
        <w:spacing w:before="0" w:after="60"/>
        <w:ind w:left="605" w:hanging="288"/>
      </w:pPr>
      <w:r>
        <w:rPr>
          <w:rFonts w:ascii="Calibri" w:hAnsi="Calibri"/>
          <w:b/>
          <w:color w:val="E72F1F"/>
          <w:sz w:val="16"/>
        </w:rPr>
        <w:t xml:space="preserve">●  </w:t>
      </w:r>
      <w:r>
        <w:rPr>
          <w:rFonts w:ascii="Calibri" w:hAnsi="Calibri"/>
          <w:sz w:val="21"/>
        </w:rPr>
        <w:t>"I will put our women’s committee on the circulation list for every paper we receive."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6"/>
      </w:rPr>
      <w:t>A3519987  ·  Handout 14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95959"/>
        <w:sz w:val="16"/>
      </w:rPr>
      <w:t>International Training Centre of the ILO   |   A3519987   |   Strengthening Tripartite Social Dialogue Institutions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