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4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Comparative case notes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4 — Day one, 15:30–16:30   ·   Reference material</w:t>
      </w:r>
    </w:p>
    <w:p>
      <w:pPr>
        <w:spacing w:before="0" w:after="200"/>
      </w:pPr>
      <w:r>
        <w:rPr>
          <w:rFonts w:ascii="Calibri" w:hAnsi="Calibri"/>
          <w:b w:val="0"/>
          <w:i/>
          <w:color w:val="595959"/>
          <w:sz w:val="20"/>
        </w:rPr>
        <w:t>Read these alongside the session. They are summaries of structural patterns, not full country descriptions — the purpose is to compare designs and the conditions they depend on.</w:t>
      </w:r>
    </w:p>
    <w:p>
      <w:pPr>
        <w:spacing w:before="160" w:after="80"/>
      </w:pPr>
      <w:r>
        <w:rPr>
          <w:rFonts w:ascii="Calibri" w:hAnsi="Calibri"/>
          <w:b/>
          <w:i w:val="0"/>
          <w:color w:val="0E2841"/>
          <w:sz w:val="25"/>
        </w:rPr>
        <w:t>Case A — A statutory council with standing chambers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Design</w:t>
            </w:r>
          </w:p>
        </w:tc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depends on, or what it shows</w:t>
            </w:r>
          </w:p>
        </w:tc>
      </w:tr>
      <w:tr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Established by its own Act of Parliament, with a mandate to consider significant labour market and socio-economic policy before it goes to Parliament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Four constituencies: government, business, labour, and a community constituency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Work divided across standing chambers, so several questions proceed in parallel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permanent executive director and a dedicated professional secretariat</w:t>
            </w:r>
          </w:p>
        </w:tc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statutory obligation on government to table policy there — without it, attendance decays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Social partners with the technical capacity to engage on economic, not only labour, policy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funded secretariat able to commission and challenge analysis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Acceptance that a fourth, non-social-partner constituency sits at the table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i w:val="0"/>
          <w:color w:val="0E2841"/>
          <w:sz w:val="25"/>
        </w:rPr>
        <w:t>Case B — An advisory council with independent members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Design</w:t>
            </w:r>
          </w:p>
        </w:tc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depends on, or what it shows</w:t>
            </w:r>
          </w:p>
        </w:tc>
      </w:tr>
      <w:tr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national advisory council on social and economic policy; employers, trade unions and independent members appointed for their expertise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Advice is published, reasoned and public, which creates its own pressure to respond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separate bipartite body handles employer–union agreements, keeping the functions distinct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Long-horizon work — questions are taken up years before they become decisions</w:t>
            </w:r>
          </w:p>
        </w:tc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tradition of reasoned consensus rather than positional bargaining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Independent members who are genuinely independent and publicly credible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Patience — the value shows over years, not within a political cycle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clear separation between the advisory function and collective bargaining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i w:val="0"/>
          <w:color w:val="0E2841"/>
          <w:sz w:val="25"/>
        </w:rPr>
        <w:t>Case C — A lean body in a lower-income setting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Design</w:t>
            </w:r>
          </w:p>
        </w:tc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depends on, or what it shows</w:t>
            </w:r>
          </w:p>
        </w:tc>
      </w:tr>
      <w:tr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small national tripartite body with a narrow, clearly defined remit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short standing agenda — a handful of questions carried across meetings until resolved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secretariat of two or three, supplemented by technical support from the ILO and from the constituent organizations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Sectoral committees that report in on a fixed cycle</w:t>
            </w:r>
          </w:p>
        </w:tc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narrow remit done consistently builds more credibility than a broad remit done occasionally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Carrying questions across meetings is a cheap substitute for a large secretariat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Technical capacity can be borrowed; the capacity to commission and judge it cannot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• A fixed reporting cycle from sectoral bodies solves downward coordination with no new structure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i w:val="0"/>
          <w:color w:val="0D6652"/>
          <w:sz w:val="26"/>
        </w:rPr>
        <w:t>Exercise 4.1 — Testing your protocol against the cases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Take the protocol your group drafted before the break and test it against the three patterns and three cautions.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74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Test</w:t>
            </w:r>
          </w:p>
        </w:tc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your protocol says</w:t>
            </w:r>
          </w:p>
        </w:tc>
        <w:tc>
          <w:tcPr>
            <w:tcW w:type="dxa" w:w="28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Amendment</w:t>
            </w:r>
          </w:p>
        </w:tc>
      </w:tr>
      <w:tr>
        <w:trPr>
          <w:trHeight w:val="792"/>
        </w:trP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anything in it create an obligation to come, or does it rely on goodwill?</w:t>
            </w:r>
          </w:p>
        </w:tc>
        <w:tc>
          <w:tcPr>
            <w:tcW w:type="dxa" w:w="3168"/>
          </w:tcPr>
          <w:p/>
        </w:tc>
        <w:tc>
          <w:tcPr>
            <w:tcW w:type="dxa" w:w="2880"/>
          </w:tcPr>
          <w:p/>
        </w:tc>
      </w:tr>
      <w:tr>
        <w:trPr>
          <w:trHeight w:val="792"/>
        </w:trP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it assume secretariat capacity that exists, or capacity that must be built first?</w:t>
            </w:r>
          </w:p>
        </w:tc>
        <w:tc>
          <w:tcPr>
            <w:tcW w:type="dxa" w:w="3168"/>
          </w:tcPr>
          <w:p/>
        </w:tc>
        <w:tc>
          <w:tcPr>
            <w:tcW w:type="dxa" w:w="2880"/>
          </w:tcPr>
          <w:p/>
        </w:tc>
      </w:tr>
      <w:tr>
        <w:trPr>
          <w:trHeight w:val="792"/>
        </w:trP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it say anything about publishing the record?</w:t>
            </w:r>
          </w:p>
        </w:tc>
        <w:tc>
          <w:tcPr>
            <w:tcW w:type="dxa" w:w="3168"/>
          </w:tcPr>
          <w:p/>
        </w:tc>
        <w:tc>
          <w:tcPr>
            <w:tcW w:type="dxa" w:w="2880"/>
          </w:tcPr>
          <w:p/>
        </w:tc>
      </w:tr>
      <w:tr>
        <w:trPr>
          <w:trHeight w:val="792"/>
        </w:trP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Which single clause is most likely to fail because an enabling condition is missing?</w:t>
            </w:r>
          </w:p>
        </w:tc>
        <w:tc>
          <w:tcPr>
            <w:tcW w:type="dxa" w:w="3168"/>
          </w:tcPr>
          <w:p/>
        </w:tc>
        <w:tc>
          <w:tcPr>
            <w:tcW w:type="dxa" w:w="2880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