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95959"/>
          <w:sz w:val="18"/>
        </w:rPr>
        <w:t>PARTICIPANT HANDOUT 5.1</w:t>
      </w:r>
    </w:p>
    <w:p>
      <w:pPr>
        <w:spacing w:before="0" w:after="60"/>
      </w:pPr>
      <w:r>
        <w:rPr>
          <w:rFonts w:ascii="Calibri" w:hAnsi="Calibri"/>
          <w:b/>
          <w:i w:val="0"/>
          <w:color w:val="0E2841"/>
          <w:sz w:val="32"/>
        </w:rPr>
        <w:t>Evidence pack and policy options note</w:t>
      </w:r>
    </w:p>
    <w:p>
      <w:pPr>
        <w:spacing w:before="0" w:after="200"/>
      </w:pPr>
      <w:r>
        <w:rPr>
          <w:rFonts w:ascii="Calibri" w:hAnsi="Calibri"/>
          <w:b/>
          <w:i w:val="0"/>
          <w:color w:val="0D6652"/>
          <w:sz w:val="20"/>
        </w:rPr>
        <w:t>Session 5 — Day two, 09:00–10:30   ·   20 minutes   ·   Four mixed tripartite groups</w:t>
      </w:r>
    </w:p>
    <w:p>
      <w:pPr>
        <w:spacing w:before="0" w:after="200"/>
      </w:pPr>
      <w:r>
        <w:rPr>
          <w:rFonts w:ascii="Calibri" w:hAnsi="Calibri"/>
          <w:b/>
          <w:i w:val="0"/>
          <w:color w:val="E72F1F"/>
          <w:sz w:val="19"/>
        </w:rPr>
        <w:t>TRAINING MATERIAL — SIMULATED EVIDENCE. The sources below were written for this exercise. The figures are illustrative and must not be cited outside the training room.</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0D6652"/>
          </w:tcPr>
          <w:p>
            <w:pPr>
              <w:spacing w:before="60" w:after="60"/>
            </w:pPr>
            <w:r>
              <w:rPr>
                <w:rFonts w:ascii="Calibri" w:hAnsi="Calibri"/>
                <w:b/>
                <w:color w:val="FFFFFF"/>
                <w:sz w:val="20"/>
              </w:rPr>
              <w:t>THE QUESTION</w:t>
            </w:r>
            <w:r>
              <w:rPr>
                <w:rFonts w:ascii="Calibri" w:hAnsi="Calibri"/>
                <w:color w:val="D6E4E0"/>
                <w:sz w:val="20"/>
              </w:rPr>
              <w:t xml:space="preserve">    The body has been asked to advise on extending occupational safety and health requirements to establishments below the current size threshold.</w:t>
            </w:r>
          </w:p>
        </w:tc>
      </w:tr>
    </w:tbl>
    <w:p>
      <w:pPr>
        <w:spacing w:after="40"/>
      </w:pPr>
    </w:p>
    <w:p>
      <w:pPr>
        <w:spacing w:before="160" w:after="80"/>
      </w:pPr>
      <w:r>
        <w:rPr>
          <w:rFonts w:ascii="Calibri" w:hAnsi="Calibri"/>
          <w:b/>
          <w:i w:val="0"/>
          <w:color w:val="0D6652"/>
          <w:sz w:val="26"/>
        </w:rPr>
        <w:t>Four sources</w:t>
      </w:r>
    </w:p>
    <w:p>
      <w:pPr>
        <w:spacing w:before="160" w:after="60"/>
      </w:pPr>
      <w:r>
        <w:rPr>
          <w:rFonts w:ascii="Calibri" w:hAnsi="Calibri"/>
          <w:b/>
          <w:i w:val="0"/>
          <w:color w:val="0E2841"/>
          <w:sz w:val="23"/>
        </w:rPr>
        <w:t>Source A  —  Ministry press release, issued last month</w:t>
      </w:r>
    </w:p>
    <w:p>
      <w:pPr>
        <w:spacing w:before="0" w:after="40"/>
      </w:pPr>
      <w:r>
        <w:rPr>
          <w:rFonts w:ascii="Calibri" w:hAnsi="Calibri"/>
          <w:b w:val="0"/>
          <w:i w:val="0"/>
          <w:sz w:val="21"/>
        </w:rPr>
        <w:t>"The Government is firmly committed to protecting every worker. Compliance with safety requirements has improved substantially in recent years and the inspection system is now among the most responsive in the region. Any extension of requirements will be introduced in a manner that does not burden small enterprises."</w:t>
        <w:br/>
        <w:br/>
        <w:t>No method, sample or data source is stated. No figures are given.</w:t>
      </w:r>
    </w:p>
    <w:p>
      <w:pPr>
        <w:spacing w:before="160" w:after="60"/>
      </w:pPr>
      <w:r>
        <w:rPr>
          <w:rFonts w:ascii="Calibri" w:hAnsi="Calibri"/>
          <w:b/>
          <w:i w:val="0"/>
          <w:color w:val="0E2841"/>
          <w:sz w:val="23"/>
        </w:rPr>
        <w:t>Source B  —  Survey by a national workers’ organization, fieldwork conducted this year</w:t>
      </w:r>
    </w:p>
    <w:p>
      <w:pPr>
        <w:spacing w:before="0" w:after="40"/>
      </w:pPr>
      <w:r>
        <w:rPr>
          <w:rFonts w:ascii="Calibri" w:hAnsi="Calibri"/>
          <w:b w:val="0"/>
          <w:i w:val="0"/>
          <w:sz w:val="21"/>
        </w:rPr>
        <w:t>Reports that 62 per cent of workers surveyed in establishments below the threshold had received no safety training, and that 1 in 4 reported an injury or near-miss in the past twelve months.</w:t>
        <w:br/>
        <w:br/>
        <w:t>Method: self-completed questionnaire distributed through member organizations; 1,840 responses; establishments self-identified as below the threshold; responses concentrated in two divisions.</w:t>
      </w:r>
    </w:p>
    <w:p>
      <w:pPr>
        <w:spacing w:before="160" w:after="60"/>
      </w:pPr>
      <w:r>
        <w:rPr>
          <w:rFonts w:ascii="Calibri" w:hAnsi="Calibri"/>
          <w:b/>
          <w:i w:val="0"/>
          <w:color w:val="0E2841"/>
          <w:sz w:val="23"/>
        </w:rPr>
        <w:t>Source C  —  Employers’ federation study, published this year, fieldwork conducted four years ago</w:t>
      </w:r>
    </w:p>
    <w:p>
      <w:pPr>
        <w:spacing w:before="0" w:after="40"/>
      </w:pPr>
      <w:r>
        <w:rPr>
          <w:rFonts w:ascii="Calibri" w:hAnsi="Calibri"/>
          <w:b w:val="0"/>
          <w:i w:val="0"/>
          <w:sz w:val="21"/>
        </w:rPr>
        <w:t>Estimates the average cost of compliance for a small establishment at an amount equivalent to 3.4 per cent of annual turnover, and concludes that extension would be "economically unviable" for the majority of units below the threshold.</w:t>
        <w:br/>
        <w:br/>
        <w:t>Method: structured interviews with 95 member enterprises; "small establishment" defined by turnover, not by employee numbers; costs expressed in prices of the fieldwork year.</w:t>
      </w:r>
    </w:p>
    <w:p>
      <w:pPr>
        <w:spacing w:before="160" w:after="60"/>
      </w:pPr>
      <w:r>
        <w:rPr>
          <w:rFonts w:ascii="Calibri" w:hAnsi="Calibri"/>
          <w:b/>
          <w:i w:val="0"/>
          <w:color w:val="0E2841"/>
          <w:sz w:val="23"/>
        </w:rPr>
        <w:t>Source D  —  Official labour inspection statistics, most recent published series</w:t>
      </w:r>
    </w:p>
    <w:p>
      <w:pPr>
        <w:spacing w:before="0" w:after="40"/>
      </w:pPr>
      <w:r>
        <w:rPr>
          <w:rFonts w:ascii="Calibri" w:hAnsi="Calibri"/>
          <w:b w:val="0"/>
          <w:i w:val="0"/>
          <w:sz w:val="21"/>
        </w:rPr>
        <w:t>Of establishments inspected in the reporting period, 41 per cent were recorded as fully compliant with existing requirements. Establishments below the size threshold are not included in the routine inspection programme and therefore do not appear in the series.</w:t>
        <w:br/>
        <w:br/>
        <w:t>Method: administrative records of completed inspections. Coverage: registered establishments above the threshold only. Collection period stated in the publication.</w:t>
      </w:r>
    </w:p>
    <w:p>
      <w:r>
        <w:br w:type="page"/>
      </w:r>
    </w:p>
    <w:p>
      <w:pPr>
        <w:spacing w:before="0" w:after="80"/>
      </w:pPr>
      <w:r>
        <w:rPr>
          <w:rFonts w:ascii="Calibri" w:hAnsi="Calibri"/>
          <w:b/>
          <w:i w:val="0"/>
          <w:color w:val="0D6652"/>
          <w:sz w:val="26"/>
        </w:rPr>
        <w:t>Step 1 — Vet the sources</w:t>
      </w:r>
    </w:p>
    <w:p>
      <w:pPr>
        <w:spacing w:before="0" w:after="80"/>
      </w:pPr>
      <w:r>
        <w:rPr>
          <w:rFonts w:ascii="Calibri" w:hAnsi="Calibri"/>
          <w:b w:val="0"/>
          <w:i/>
          <w:color w:val="595959"/>
          <w:sz w:val="20"/>
        </w:rPr>
        <w:t>Apply the four tests and mark each source usable, usable with a caveat, or not usable.</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368"/>
            <w:shd w:val="clear" w:color="auto" w:fill="0D6652"/>
          </w:tcPr>
          <w:p>
            <w:pPr>
              <w:spacing w:before="20" w:after="40"/>
            </w:pPr>
            <w:r>
              <w:rPr>
                <w:rFonts w:ascii="Calibri" w:hAnsi="Calibri"/>
                <w:b/>
                <w:i w:val="0"/>
                <w:color w:val="FFFFFF"/>
                <w:sz w:val="19"/>
              </w:rPr>
            </w:r>
          </w:p>
        </w:tc>
        <w:tc>
          <w:tcPr>
            <w:tcW w:type="dxa" w:w="1656"/>
            <w:shd w:val="clear" w:color="auto" w:fill="0D6652"/>
          </w:tcPr>
          <w:p>
            <w:pPr>
              <w:spacing w:before="20" w:after="40"/>
            </w:pPr>
            <w:r>
              <w:rPr>
                <w:rFonts w:ascii="Calibri" w:hAnsi="Calibri"/>
                <w:b/>
                <w:i w:val="0"/>
                <w:color w:val="FFFFFF"/>
                <w:sz w:val="19"/>
              </w:rPr>
              <w:t>Provenance</w:t>
            </w:r>
          </w:p>
        </w:tc>
        <w:tc>
          <w:tcPr>
            <w:tcW w:type="dxa" w:w="1656"/>
            <w:shd w:val="clear" w:color="auto" w:fill="0D6652"/>
          </w:tcPr>
          <w:p>
            <w:pPr>
              <w:spacing w:before="20" w:after="40"/>
            </w:pPr>
            <w:r>
              <w:rPr>
                <w:rFonts w:ascii="Calibri" w:hAnsi="Calibri"/>
                <w:b/>
                <w:i w:val="0"/>
                <w:color w:val="FFFFFF"/>
                <w:sz w:val="19"/>
              </w:rPr>
              <w:t>Method</w:t>
            </w:r>
          </w:p>
        </w:tc>
        <w:tc>
          <w:tcPr>
            <w:tcW w:type="dxa" w:w="1656"/>
            <w:shd w:val="clear" w:color="auto" w:fill="0D6652"/>
          </w:tcPr>
          <w:p>
            <w:pPr>
              <w:spacing w:before="20" w:after="40"/>
            </w:pPr>
            <w:r>
              <w:rPr>
                <w:rFonts w:ascii="Calibri" w:hAnsi="Calibri"/>
                <w:b/>
                <w:i w:val="0"/>
                <w:color w:val="FFFFFF"/>
                <w:sz w:val="19"/>
              </w:rPr>
              <w:t>Currency</w:t>
            </w:r>
          </w:p>
        </w:tc>
        <w:tc>
          <w:tcPr>
            <w:tcW w:type="dxa" w:w="1872"/>
            <w:shd w:val="clear" w:color="auto" w:fill="0D6652"/>
          </w:tcPr>
          <w:p>
            <w:pPr>
              <w:spacing w:before="20" w:after="40"/>
            </w:pPr>
            <w:r>
              <w:rPr>
                <w:rFonts w:ascii="Calibri" w:hAnsi="Calibri"/>
                <w:b/>
                <w:i w:val="0"/>
                <w:color w:val="FFFFFF"/>
                <w:sz w:val="19"/>
              </w:rPr>
              <w:t>Corroboration</w:t>
            </w:r>
          </w:p>
        </w:tc>
        <w:tc>
          <w:tcPr>
            <w:tcW w:type="dxa" w:w="1584"/>
            <w:shd w:val="clear" w:color="auto" w:fill="0D6652"/>
          </w:tcPr>
          <w:p>
            <w:pPr>
              <w:spacing w:before="20" w:after="40"/>
            </w:pPr>
            <w:r>
              <w:rPr>
                <w:rFonts w:ascii="Calibri" w:hAnsi="Calibri"/>
                <w:b/>
                <w:i w:val="0"/>
                <w:color w:val="FFFFFF"/>
                <w:sz w:val="19"/>
              </w:rPr>
              <w:t>Verdict</w:t>
            </w:r>
          </w:p>
        </w:tc>
      </w:tr>
      <w:tr>
        <w:trPr>
          <w:trHeight w:val="792"/>
        </w:trPr>
        <w:tc>
          <w:tcPr>
            <w:tcW w:type="dxa" w:w="1368"/>
          </w:tcPr>
          <w:p>
            <w:pPr>
              <w:spacing w:before="20" w:after="20"/>
            </w:pPr>
            <w:r>
              <w:rPr>
                <w:rFonts w:ascii="Calibri" w:hAnsi="Calibri"/>
                <w:b w:val="0"/>
                <w:i w:val="0"/>
                <w:sz w:val="19"/>
              </w:rPr>
              <w:t>Source A</w:t>
            </w:r>
          </w:p>
        </w:tc>
        <w:tc>
          <w:tcPr>
            <w:tcW w:type="dxa" w:w="1656"/>
          </w:tcPr>
          <w:p/>
        </w:tc>
        <w:tc>
          <w:tcPr>
            <w:tcW w:type="dxa" w:w="1656"/>
          </w:tcPr>
          <w:p/>
        </w:tc>
        <w:tc>
          <w:tcPr>
            <w:tcW w:type="dxa" w:w="1656"/>
          </w:tcPr>
          <w:p/>
        </w:tc>
        <w:tc>
          <w:tcPr>
            <w:tcW w:type="dxa" w:w="1872"/>
          </w:tcPr>
          <w:p/>
        </w:tc>
        <w:tc>
          <w:tcPr>
            <w:tcW w:type="dxa" w:w="1584"/>
          </w:tcPr>
          <w:p/>
        </w:tc>
      </w:tr>
      <w:tr>
        <w:trPr>
          <w:trHeight w:val="792"/>
        </w:trPr>
        <w:tc>
          <w:tcPr>
            <w:tcW w:type="dxa" w:w="1368"/>
          </w:tcPr>
          <w:p>
            <w:pPr>
              <w:spacing w:before="20" w:after="20"/>
            </w:pPr>
            <w:r>
              <w:rPr>
                <w:rFonts w:ascii="Calibri" w:hAnsi="Calibri"/>
                <w:b w:val="0"/>
                <w:i w:val="0"/>
                <w:sz w:val="19"/>
              </w:rPr>
              <w:t>Source B</w:t>
            </w:r>
          </w:p>
        </w:tc>
        <w:tc>
          <w:tcPr>
            <w:tcW w:type="dxa" w:w="1656"/>
          </w:tcPr>
          <w:p/>
        </w:tc>
        <w:tc>
          <w:tcPr>
            <w:tcW w:type="dxa" w:w="1656"/>
          </w:tcPr>
          <w:p/>
        </w:tc>
        <w:tc>
          <w:tcPr>
            <w:tcW w:type="dxa" w:w="1656"/>
          </w:tcPr>
          <w:p/>
        </w:tc>
        <w:tc>
          <w:tcPr>
            <w:tcW w:type="dxa" w:w="1872"/>
          </w:tcPr>
          <w:p/>
        </w:tc>
        <w:tc>
          <w:tcPr>
            <w:tcW w:type="dxa" w:w="1584"/>
          </w:tcPr>
          <w:p/>
        </w:tc>
      </w:tr>
      <w:tr>
        <w:trPr>
          <w:trHeight w:val="792"/>
        </w:trPr>
        <w:tc>
          <w:tcPr>
            <w:tcW w:type="dxa" w:w="1368"/>
          </w:tcPr>
          <w:p>
            <w:pPr>
              <w:spacing w:before="20" w:after="20"/>
            </w:pPr>
            <w:r>
              <w:rPr>
                <w:rFonts w:ascii="Calibri" w:hAnsi="Calibri"/>
                <w:b w:val="0"/>
                <w:i w:val="0"/>
                <w:sz w:val="19"/>
              </w:rPr>
              <w:t>Source C</w:t>
            </w:r>
          </w:p>
        </w:tc>
        <w:tc>
          <w:tcPr>
            <w:tcW w:type="dxa" w:w="1656"/>
          </w:tcPr>
          <w:p/>
        </w:tc>
        <w:tc>
          <w:tcPr>
            <w:tcW w:type="dxa" w:w="1656"/>
          </w:tcPr>
          <w:p/>
        </w:tc>
        <w:tc>
          <w:tcPr>
            <w:tcW w:type="dxa" w:w="1656"/>
          </w:tcPr>
          <w:p/>
        </w:tc>
        <w:tc>
          <w:tcPr>
            <w:tcW w:type="dxa" w:w="1872"/>
          </w:tcPr>
          <w:p/>
        </w:tc>
        <w:tc>
          <w:tcPr>
            <w:tcW w:type="dxa" w:w="1584"/>
          </w:tcPr>
          <w:p/>
        </w:tc>
      </w:tr>
      <w:tr>
        <w:trPr>
          <w:trHeight w:val="792"/>
        </w:trPr>
        <w:tc>
          <w:tcPr>
            <w:tcW w:type="dxa" w:w="1368"/>
          </w:tcPr>
          <w:p>
            <w:pPr>
              <w:spacing w:before="20" w:after="20"/>
            </w:pPr>
            <w:r>
              <w:rPr>
                <w:rFonts w:ascii="Calibri" w:hAnsi="Calibri"/>
                <w:b w:val="0"/>
                <w:i w:val="0"/>
                <w:sz w:val="19"/>
              </w:rPr>
              <w:t>Source D</w:t>
            </w:r>
          </w:p>
        </w:tc>
        <w:tc>
          <w:tcPr>
            <w:tcW w:type="dxa" w:w="1656"/>
          </w:tcPr>
          <w:p/>
        </w:tc>
        <w:tc>
          <w:tcPr>
            <w:tcW w:type="dxa" w:w="1656"/>
          </w:tcPr>
          <w:p/>
        </w:tc>
        <w:tc>
          <w:tcPr>
            <w:tcW w:type="dxa" w:w="1656"/>
          </w:tcPr>
          <w:p/>
        </w:tc>
        <w:tc>
          <w:tcPr>
            <w:tcW w:type="dxa" w:w="1872"/>
          </w:tcPr>
          <w:p/>
        </w:tc>
        <w:tc>
          <w:tcPr>
            <w:tcW w:type="dxa" w:w="1584"/>
          </w:tcPr>
          <w:p/>
        </w:tc>
      </w:tr>
    </w:tbl>
    <w:p>
      <w:pPr>
        <w:spacing w:after="40"/>
      </w:pPr>
    </w:p>
    <w:p>
      <w:pPr>
        <w:spacing w:before="120" w:after="60"/>
      </w:pPr>
      <w:r>
        <w:rPr>
          <w:rFonts w:ascii="Calibri" w:hAnsi="Calibri"/>
          <w:b/>
          <w:i w:val="0"/>
          <w:color w:val="0D6652"/>
          <w:sz w:val="26"/>
        </w:rPr>
        <w:t>Step 2 — Factual summary</w:t>
      </w:r>
    </w:p>
    <w:p>
      <w:pPr>
        <w:spacing w:before="0" w:after="60"/>
      </w:pPr>
      <w:r>
        <w:rPr>
          <w:rFonts w:ascii="Calibri" w:hAnsi="Calibri"/>
          <w:b w:val="0"/>
          <w:i/>
          <w:color w:val="595959"/>
          <w:sz w:val="20"/>
        </w:rPr>
        <w:t>Maximum 150 words, using only what survived vetting. No emotive or evaluative language.</w:t>
      </w:r>
    </w:p>
    <w:tbl>
      <w:tblPr>
        <w:tblW w:type="auto" w:w="0"/>
        <w:jc w:val="left"/>
        <w:tblLook w:firstColumn="1" w:firstRow="1" w:lastColumn="0" w:lastRow="0" w:noHBand="0" w:noVBand="1" w:val="04A0"/>
        <w:tblBorders>
          <w:top w:val="none" w:sz="0"/>
          <w:left w:val="none" w:sz="0"/>
          <w:right w:val="none" w:sz="0"/>
          <w:insideV w:val="none" w:sz="0"/>
          <w:bottom w:val="single" w:sz="4" w:color="BFBFBF"/>
          <w:insideH w:val="single" w:sz="4" w:color="BFBFBF"/>
        </w:tblBorders>
      </w:tblPr>
      <w:tblGrid>
        <w:gridCol w:w="10080"/>
      </w:tblGrid>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bl>
    <w:p>
      <w:pPr>
        <w:spacing w:after="40"/>
      </w:pPr>
    </w:p>
    <w:p>
      <w:pPr>
        <w:spacing w:before="80" w:after="60"/>
      </w:pPr>
      <w:r>
        <w:rPr>
          <w:rFonts w:ascii="Calibri" w:hAnsi="Calibri"/>
          <w:b/>
          <w:i w:val="0"/>
          <w:color w:val="0D6652"/>
          <w:sz w:val="26"/>
        </w:rPr>
        <w:t>Step 3 — Policy options</w:t>
      </w:r>
    </w:p>
    <w:p>
      <w:pPr>
        <w:spacing w:before="0" w:after="60"/>
      </w:pPr>
      <w:r>
        <w:rPr>
          <w:rFonts w:ascii="Calibri" w:hAnsi="Calibri"/>
          <w:b w:val="0"/>
          <w:i/>
          <w:color w:val="595959"/>
          <w:sz w:val="20"/>
        </w:rPr>
        <w:t>Two or three distinct options. They must rest on different judgements, not on one judgement at three settings.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576"/>
            <w:shd w:val="clear" w:color="auto" w:fill="0D6652"/>
          </w:tcPr>
          <w:p>
            <w:pPr>
              <w:spacing w:before="20" w:after="40"/>
            </w:pPr>
            <w:r>
              <w:rPr>
                <w:rFonts w:ascii="Calibri" w:hAnsi="Calibri"/>
                <w:b/>
                <w:i w:val="0"/>
                <w:color w:val="FFFFFF"/>
                <w:sz w:val="19"/>
              </w:rPr>
            </w:r>
          </w:p>
        </w:tc>
        <w:tc>
          <w:tcPr>
            <w:tcW w:type="dxa" w:w="3744"/>
            <w:shd w:val="clear" w:color="auto" w:fill="0D6652"/>
          </w:tcPr>
          <w:p>
            <w:pPr>
              <w:spacing w:before="20" w:after="40"/>
            </w:pPr>
            <w:r>
              <w:rPr>
                <w:rFonts w:ascii="Calibri" w:hAnsi="Calibri"/>
                <w:b/>
                <w:i w:val="0"/>
                <w:color w:val="FFFFFF"/>
                <w:sz w:val="19"/>
              </w:rPr>
              <w:t>The option</w:t>
            </w:r>
          </w:p>
        </w:tc>
        <w:tc>
          <w:tcPr>
            <w:tcW w:type="dxa" w:w="3024"/>
            <w:shd w:val="clear" w:color="auto" w:fill="0D6652"/>
          </w:tcPr>
          <w:p>
            <w:pPr>
              <w:spacing w:before="20" w:after="40"/>
            </w:pPr>
            <w:r>
              <w:rPr>
                <w:rFonts w:ascii="Calibri" w:hAnsi="Calibri"/>
                <w:b/>
                <w:i w:val="0"/>
                <w:color w:val="FFFFFF"/>
                <w:sz w:val="19"/>
              </w:rPr>
              <w:t>Indicative cost and who bears it</w:t>
            </w:r>
          </w:p>
        </w:tc>
        <w:tc>
          <w:tcPr>
            <w:tcW w:type="dxa" w:w="2448"/>
            <w:shd w:val="clear" w:color="auto" w:fill="0D6652"/>
          </w:tcPr>
          <w:p>
            <w:pPr>
              <w:spacing w:before="20" w:after="40"/>
            </w:pPr>
            <w:r>
              <w:rPr>
                <w:rFonts w:ascii="Calibri" w:hAnsi="Calibri"/>
                <w:b/>
                <w:i w:val="0"/>
                <w:color w:val="FFFFFF"/>
                <w:sz w:val="19"/>
              </w:rPr>
              <w:t>Responsible institution</w:t>
            </w:r>
          </w:p>
        </w:tc>
      </w:tr>
      <w:tr>
        <w:trPr>
          <w:trHeight w:val="1008"/>
        </w:trPr>
        <w:tc>
          <w:tcPr>
            <w:tcW w:type="dxa" w:w="576"/>
          </w:tcPr>
          <w:p>
            <w:pPr>
              <w:spacing w:before="20" w:after="20"/>
            </w:pPr>
            <w:r>
              <w:rPr>
                <w:rFonts w:ascii="Calibri" w:hAnsi="Calibri"/>
                <w:b w:val="0"/>
                <w:i w:val="0"/>
                <w:sz w:val="19"/>
              </w:rPr>
              <w:t>A</w:t>
            </w:r>
          </w:p>
        </w:tc>
        <w:tc>
          <w:tcPr>
            <w:tcW w:type="dxa" w:w="3744"/>
          </w:tcPr>
          <w:p/>
        </w:tc>
        <w:tc>
          <w:tcPr>
            <w:tcW w:type="dxa" w:w="3024"/>
          </w:tcPr>
          <w:p/>
        </w:tc>
        <w:tc>
          <w:tcPr>
            <w:tcW w:type="dxa" w:w="2448"/>
          </w:tcPr>
          <w:p/>
        </w:tc>
      </w:tr>
      <w:tr>
        <w:trPr>
          <w:trHeight w:val="1008"/>
        </w:trPr>
        <w:tc>
          <w:tcPr>
            <w:tcW w:type="dxa" w:w="576"/>
          </w:tcPr>
          <w:p>
            <w:pPr>
              <w:spacing w:before="20" w:after="20"/>
            </w:pPr>
            <w:r>
              <w:rPr>
                <w:rFonts w:ascii="Calibri" w:hAnsi="Calibri"/>
                <w:b w:val="0"/>
                <w:i w:val="0"/>
                <w:sz w:val="19"/>
              </w:rPr>
              <w:t>B</w:t>
            </w:r>
          </w:p>
        </w:tc>
        <w:tc>
          <w:tcPr>
            <w:tcW w:type="dxa" w:w="3744"/>
          </w:tcPr>
          <w:p/>
        </w:tc>
        <w:tc>
          <w:tcPr>
            <w:tcW w:type="dxa" w:w="3024"/>
          </w:tcPr>
          <w:p/>
        </w:tc>
        <w:tc>
          <w:tcPr>
            <w:tcW w:type="dxa" w:w="2448"/>
          </w:tcPr>
          <w:p/>
        </w:tc>
      </w:tr>
      <w:tr>
        <w:trPr>
          <w:trHeight w:val="1008"/>
        </w:trPr>
        <w:tc>
          <w:tcPr>
            <w:tcW w:type="dxa" w:w="576"/>
          </w:tcPr>
          <w:p>
            <w:pPr>
              <w:spacing w:before="20" w:after="20"/>
            </w:pPr>
            <w:r>
              <w:rPr>
                <w:rFonts w:ascii="Calibri" w:hAnsi="Calibri"/>
                <w:b w:val="0"/>
                <w:i w:val="0"/>
                <w:sz w:val="19"/>
              </w:rPr>
              <w:t>C</w:t>
            </w:r>
          </w:p>
        </w:tc>
        <w:tc>
          <w:tcPr>
            <w:tcW w:type="dxa" w:w="3744"/>
          </w:tcPr>
          <w:p/>
        </w:tc>
        <w:tc>
          <w:tcPr>
            <w:tcW w:type="dxa" w:w="3024"/>
          </w:tcPr>
          <w:p/>
        </w:tc>
        <w:tc>
          <w:tcPr>
            <w:tcW w:type="dxa" w:w="2448"/>
          </w:tcPr>
          <w:p/>
        </w:tc>
      </w:tr>
    </w:tbl>
    <w:p>
      <w:pPr>
        <w:spacing w:after="40"/>
      </w:pPr>
    </w:p>
    <w:p>
      <w:pPr>
        <w:spacing w:before="120" w:after="60"/>
      </w:pPr>
      <w:r>
        <w:rPr>
          <w:rFonts w:ascii="Calibri" w:hAnsi="Calibri"/>
          <w:b/>
          <w:i w:val="0"/>
          <w:color w:val="0D6652"/>
          <w:sz w:val="26"/>
        </w:rPr>
        <w:t>Step 4 — What is contested, and what is unknown</w:t>
      </w:r>
    </w:p>
    <w:tbl>
      <w:tblPr>
        <w:tblW w:type="auto" w:w="0"/>
        <w:jc w:val="left"/>
        <w:tblLook w:firstColumn="1" w:firstRow="1" w:lastColumn="0" w:lastRow="0" w:noHBand="0" w:noVBand="1" w:val="04A0"/>
        <w:tblBorders>
          <w:top w:val="none" w:sz="0"/>
          <w:left w:val="none" w:sz="0"/>
          <w:right w:val="none" w:sz="0"/>
          <w:insideV w:val="none" w:sz="0"/>
          <w:bottom w:val="single" w:sz="4" w:color="BFBFBF"/>
          <w:insideH w:val="single" w:sz="4" w:color="BFBFBF"/>
        </w:tblBorders>
      </w:tblPr>
      <w:tblGrid>
        <w:gridCol w:w="10080"/>
      </w:tblGrid>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r>
        <w:trPr>
          <w:trHeight w:val="432"/>
        </w:trPr>
        <w:tc>
          <w:tcPr>
            <w:tcW w:type="dxa" w:w="9792"/>
          </w:tcPr>
          <w:p>
            <w:pPr>
              <w:spacing w:after="0"/>
            </w:pPr>
          </w:p>
        </w:tc>
      </w:tr>
    </w:tbl>
    <w:p>
      <w:pPr>
        <w:spacing w:after="40"/>
      </w:pPr>
    </w:p>
    <w:p>
      <w:pPr>
        <w:spacing w:before="80" w:after="80"/>
      </w:pPr>
      <w:r>
        <w:rPr>
          <w:rFonts w:ascii="Calibri" w:hAnsi="Calibri"/>
          <w:b/>
          <w:i w:val="0"/>
          <w:sz w:val="21"/>
        </w:rPr>
        <w:t>Step 5 — Read your summary aloud in the group and strike every word that signals a preference. How many did you strike? ________</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A3519987  ·  Handout 5.1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International Training Centre of the ILO   |   A3519987   |   Strengthening Tripartite Social Dialogue Institutions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