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6.1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Gender-responsiveness audit grid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6 — Day two, 11:00–12:30   ·   25 minutes   ·   Auditing a neighbouring group’s options note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  <w:r>
              <w:rPr>
                <w:rFonts w:ascii="Calibri" w:hAnsi="Calibri"/>
                <w:color w:val="D6E4E0"/>
                <w:sz w:val="20"/>
              </w:rPr>
              <w:t xml:space="preserve">    Audit the options note drafted by the group to your right, and return it with specific drafted amendments — not general observations.</w:t>
            </w:r>
          </w:p>
        </w:tc>
      </w:tr>
    </w:tbl>
    <w:p>
      <w:pPr>
        <w:spacing w:after="40"/>
      </w:pPr>
    </w:p>
    <w:p>
      <w:pPr>
        <w:spacing w:before="0" w:after="200"/>
      </w:pPr>
      <w:r>
        <w:rPr>
          <w:rFonts w:ascii="Calibri" w:hAnsi="Calibri"/>
          <w:b/>
          <w:i w:val="0"/>
          <w:sz w:val="21"/>
        </w:rPr>
        <w:t>Note being audited — group: ____________________    Auditing group: ____________________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302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the note says</w:t>
            </w:r>
          </w:p>
        </w:tc>
        <w:tc>
          <w:tcPr>
            <w:tcW w:type="dxa" w:w="331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amendment (write the wording)</w:t>
            </w:r>
          </w:p>
        </w:tc>
      </w:tr>
      <w:tr>
        <w:trPr>
          <w:trHeight w:val="1224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1  Affected population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Does it state who is affected, and the share who are women?</w:t>
            </w:r>
          </w:p>
        </w:tc>
        <w:tc>
          <w:tcPr>
            <w:tcW w:type="dxa" w:w="3024"/>
          </w:tcPr>
          <w:p/>
        </w:tc>
        <w:tc>
          <w:tcPr>
            <w:tcW w:type="dxa" w:w="3312"/>
          </w:tcPr>
          <w:p/>
        </w:tc>
      </w:tr>
      <w:tr>
        <w:trPr>
          <w:trHeight w:val="1224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2  Disaggregated evidence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Are the sources cited disaggregated by sex? Did they check, or assume?</w:t>
            </w:r>
          </w:p>
        </w:tc>
        <w:tc>
          <w:tcPr>
            <w:tcW w:type="dxa" w:w="3024"/>
          </w:tcPr>
          <w:p/>
        </w:tc>
        <w:tc>
          <w:tcPr>
            <w:tcW w:type="dxa" w:w="3312"/>
          </w:tcPr>
          <w:p/>
        </w:tc>
      </w:tr>
      <w:tr>
        <w:trPr>
          <w:trHeight w:val="1224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3  Differential effect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For each option: is the effect on women different in size, different in kind, or not at all?</w:t>
            </w:r>
          </w:p>
        </w:tc>
        <w:tc>
          <w:tcPr>
            <w:tcW w:type="dxa" w:w="3024"/>
          </w:tcPr>
          <w:p/>
        </w:tc>
        <w:tc>
          <w:tcPr>
            <w:tcW w:type="dxa" w:w="3312"/>
          </w:tcPr>
          <w:p/>
        </w:tc>
      </w:tr>
      <w:tr>
        <w:trPr>
          <w:trHeight w:val="1224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4  Delivery reach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Timing, location, language, literacy, cost of access, who holds the information</w:t>
            </w:r>
          </w:p>
        </w:tc>
        <w:tc>
          <w:tcPr>
            <w:tcW w:type="dxa" w:w="3024"/>
          </w:tcPr>
          <w:p/>
        </w:tc>
        <w:tc>
          <w:tcPr>
            <w:tcW w:type="dxa" w:w="3312"/>
          </w:tcPr>
          <w:p/>
        </w:tc>
      </w:tr>
      <w:tr>
        <w:trPr>
          <w:trHeight w:val="1224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5  Monitoring trigger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Is monitoring disaggregated, and does a gap trigger anything?</w:t>
            </w:r>
          </w:p>
        </w:tc>
        <w:tc>
          <w:tcPr>
            <w:tcW w:type="dxa" w:w="3024"/>
          </w:tcPr>
          <w:p/>
        </w:tc>
        <w:tc>
          <w:tcPr>
            <w:tcW w:type="dxa" w:w="3312"/>
          </w:tcPr>
          <w:p/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i w:val="0"/>
          <w:color w:val="0D6652"/>
          <w:sz w:val="25"/>
        </w:rPr>
        <w:t>The add-on test</w:t>
      </w:r>
    </w:p>
    <w:p>
      <w:pPr>
        <w:spacing w:before="0" w:after="80"/>
      </w:pPr>
      <w:r>
        <w:rPr>
          <w:rFonts w:ascii="Calibri" w:hAnsi="Calibri"/>
          <w:b w:val="0"/>
          <w:i/>
          <w:sz w:val="22"/>
        </w:rPr>
        <w:t>“If the gender paragraph were deleted from this proposal, would any other part of it change?”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Before your amendments</w:t>
            </w:r>
          </w:p>
        </w:tc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After your amendments</w:t>
            </w:r>
          </w:p>
        </w:tc>
      </w:tr>
      <w:tr>
        <w:trPr>
          <w:trHeight w:val="864"/>
        </w:trPr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 Yes — it is integrated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 No — it is an add-on</w:t>
            </w:r>
          </w:p>
        </w:tc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 Yes — it is integrated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 No — it is an add-on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i w:val="0"/>
          <w:color w:val="0E2841"/>
          <w:sz w:val="22"/>
        </w:rPr>
        <w:t>Which single amendment, if adopted, would change the decision rather than just the document?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0080"/>
      </w:tblGrid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6.1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