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i w:val="0"/>
          <w:color w:val="595959"/>
          <w:sz w:val="18"/>
        </w:rPr>
        <w:t>PARTICIPANT HANDOUT 9.1</w:t>
      </w:r>
    </w:p>
    <w:p>
      <w:pPr>
        <w:spacing w:before="0" w:after="60"/>
      </w:pPr>
      <w:r>
        <w:rPr>
          <w:rFonts w:ascii="Calibri" w:hAnsi="Calibri"/>
          <w:b/>
          <w:i w:val="0"/>
          <w:color w:val="0E2841"/>
          <w:sz w:val="32"/>
        </w:rPr>
        <w:t>Conclusions for conversion, and the implementation framework</w:t>
      </w:r>
    </w:p>
    <w:p>
      <w:pPr>
        <w:spacing w:before="0" w:after="200"/>
      </w:pPr>
      <w:r>
        <w:rPr>
          <w:rFonts w:ascii="Calibri" w:hAnsi="Calibri"/>
          <w:b/>
          <w:i w:val="0"/>
          <w:color w:val="0D6652"/>
          <w:sz w:val="20"/>
        </w:rPr>
        <w:t>Session 9 — Day three, 09:00–10:30   ·   22 minutes   ·   Four mixed tripartite groups</w:t>
      </w:r>
    </w:p>
    <w:p>
      <w:pPr>
        <w:spacing w:before="0" w:after="200"/>
      </w:pPr>
      <w:r>
        <w:rPr>
          <w:rFonts w:ascii="Calibri" w:hAnsi="Calibri"/>
          <w:b/>
          <w:i w:val="0"/>
          <w:color w:val="E72F1F"/>
          <w:sz w:val="19"/>
        </w:rPr>
        <w:t>TRAINING MATERIAL — SIMULATED CONCLUSIONS. These were written for this exercise. They are deliberately vague, in the way real conclusions often are.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bottom w:val="none" w:sz="0"/>
          <w:right w:val="none" w:sz="0"/>
          <w:insideH w:val="none" w:sz="0"/>
          <w:insideV w:val="none" w:sz="0"/>
        </w:tblBorders>
      </w:tblPr>
      <w:tblGrid>
        <w:gridCol w:w="10080"/>
      </w:tblGrid>
      <w:tr>
        <w:tc>
          <w:tcPr>
            <w:tcW w:type="dxa" w:w="10080"/>
            <w:shd w:val="clear" w:color="auto" w:fill="0D6652"/>
          </w:tcPr>
          <w:p>
            <w:pPr>
              <w:spacing w:before="60" w:after="60"/>
            </w:pPr>
            <w:r>
              <w:rPr>
                <w:rFonts w:ascii="Calibri" w:hAnsi="Calibri"/>
                <w:b/>
                <w:color w:val="FFFFFF"/>
                <w:sz w:val="20"/>
              </w:rPr>
              <w:t>TASK</w:t>
            </w:r>
            <w:r>
              <w:rPr>
                <w:rFonts w:ascii="Calibri" w:hAnsi="Calibri"/>
                <w:color w:val="D6E4E0"/>
                <w:sz w:val="20"/>
              </w:rPr>
              <w:t xml:space="preserve">    Take the conclusion assigned to your group and convert it into a full implementation framework.</w:t>
            </w:r>
          </w:p>
        </w:tc>
      </w:tr>
    </w:tbl>
    <w:p>
      <w:pPr>
        <w:spacing w:after="40"/>
      </w:pPr>
    </w:p>
    <w:p>
      <w:pPr>
        <w:spacing w:before="160" w:after="80"/>
      </w:pPr>
      <w:r>
        <w:rPr>
          <w:rFonts w:ascii="Calibri" w:hAnsi="Calibri"/>
          <w:b/>
          <w:i w:val="0"/>
          <w:color w:val="0D6652"/>
          <w:sz w:val="26"/>
        </w:rPr>
        <w:t>The four conclusions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86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Group</w:t>
            </w:r>
          </w:p>
        </w:tc>
        <w:tc>
          <w:tcPr>
            <w:tcW w:type="dxa" w:w="892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The conclusion, as adopted</w:t>
            </w:r>
          </w:p>
        </w:tc>
      </w:tr>
      <w:tr>
        <w:trPr>
          <w:trHeight w:val="864"/>
        </w:trPr>
        <w:tc>
          <w:tcPr>
            <w:tcW w:type="dxa" w:w="86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1</w:t>
            </w:r>
          </w:p>
        </w:tc>
        <w:tc>
          <w:tcPr>
            <w:tcW w:type="dxa" w:w="892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"The Council agreed that the current arrangements for consulting sectoral bodies should be reviewed with a view to making them more systematic."</w:t>
            </w:r>
          </w:p>
        </w:tc>
      </w:tr>
      <w:tr>
        <w:trPr>
          <w:trHeight w:val="864"/>
        </w:trPr>
        <w:tc>
          <w:tcPr>
            <w:tcW w:type="dxa" w:w="864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2</w:t>
            </w:r>
          </w:p>
        </w:tc>
        <w:tc>
          <w:tcPr>
            <w:tcW w:type="dxa" w:w="8928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"The Council noted with concern the delays in responding to its recommendations and agreed that this matter should be taken forward with the relevant authorities."</w:t>
            </w:r>
          </w:p>
        </w:tc>
      </w:tr>
      <w:tr>
        <w:trPr>
          <w:trHeight w:val="864"/>
        </w:trPr>
        <w:tc>
          <w:tcPr>
            <w:tcW w:type="dxa" w:w="86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3</w:t>
            </w:r>
          </w:p>
        </w:tc>
        <w:tc>
          <w:tcPr>
            <w:tcW w:type="dxa" w:w="892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"The Council agreed that the Labour Act should be amended to extend coverage of the provisions in question, and requested that this be pursued."</w:t>
            </w:r>
          </w:p>
        </w:tc>
      </w:tr>
      <w:tr>
        <w:trPr>
          <w:trHeight w:val="864"/>
        </w:trPr>
        <w:tc>
          <w:tcPr>
            <w:tcW w:type="dxa" w:w="864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4</w:t>
            </w:r>
          </w:p>
        </w:tc>
        <w:tc>
          <w:tcPr>
            <w:tcW w:type="dxa" w:w="8928"/>
            <w:shd w:val="clear" w:color="auto" w:fill="F4F6F5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"The Council agreed that better data on the matters under discussion would assist its work, and that steps should be taken to obtain it."</w:t>
            </w:r>
          </w:p>
        </w:tc>
      </w:tr>
    </w:tbl>
    <w:p>
      <w:pPr>
        <w:spacing w:after="40"/>
      </w:pPr>
    </w:p>
    <w:p>
      <w:pPr>
        <w:spacing w:before="160" w:after="60"/>
      </w:pPr>
      <w:r>
        <w:rPr>
          <w:rFonts w:ascii="Calibri" w:hAnsi="Calibri"/>
          <w:b/>
          <w:i w:val="0"/>
          <w:color w:val="0D6652"/>
          <w:sz w:val="25"/>
        </w:rPr>
        <w:t>Step 1 — Classify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50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</w:r>
          </w:p>
        </w:tc>
        <w:tc>
          <w:tcPr>
            <w:tcW w:type="dxa" w:w="3456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Category</w:t>
            </w:r>
          </w:p>
        </w:tc>
        <w:tc>
          <w:tcPr>
            <w:tcW w:type="dxa" w:w="583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What it means for you</w:t>
            </w:r>
          </w:p>
        </w:tc>
      </w:tr>
      <w:tr>
        <w:trPr>
          <w:trHeight w:val="648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Within the body’s own control</w:t>
            </w:r>
          </w:p>
        </w:tc>
        <w:tc>
          <w:tcPr>
            <w:tcW w:type="dxa" w:w="583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Can be committed to. Should never slip</w:t>
            </w:r>
          </w:p>
        </w:tc>
      </w:tr>
      <w:tr>
        <w:trPr>
          <w:trHeight w:val="648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Within a constituent’s control</w:t>
            </w:r>
          </w:p>
        </w:tc>
        <w:tc>
          <w:tcPr>
            <w:tcW w:type="dxa" w:w="583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Can be committed to only if that constituent agrees at the table</w:t>
            </w:r>
          </w:p>
        </w:tc>
      </w:tr>
      <w:tr>
        <w:trPr>
          <w:trHeight w:val="648"/>
        </w:trPr>
        <w:tc>
          <w:tcPr>
            <w:tcW w:type="dxa" w:w="50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□</w:t>
            </w:r>
          </w:p>
        </w:tc>
        <w:tc>
          <w:tcPr>
            <w:tcW w:type="dxa" w:w="3456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Outside everyone’s control</w:t>
            </w:r>
          </w:p>
        </w:tc>
        <w:tc>
          <w:tcPr>
            <w:tcW w:type="dxa" w:w="583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Cannot be recorded as a commitment — record it as a recommendation plus a tracking item</w:t>
            </w:r>
          </w:p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D6652"/>
          <w:sz w:val="25"/>
        </w:rPr>
        <w:t>Step 2 — The first commitment only</w:t>
      </w:r>
    </w:p>
    <w:p>
      <w:pPr>
        <w:spacing w:before="0" w:after="80"/>
      </w:pPr>
      <w:r>
        <w:rPr>
          <w:rFonts w:ascii="Calibri" w:hAnsi="Calibri"/>
          <w:b w:val="0"/>
          <w:i/>
          <w:color w:val="E72F1F"/>
          <w:sz w:val="20"/>
        </w:rPr>
        <w:t>The next concrete step, not the destination. Draft terms of reference, not a reformed system.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374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Element</w:t>
            </w:r>
          </w:p>
        </w:tc>
        <w:tc>
          <w:tcPr>
            <w:tcW w:type="dxa" w:w="604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rPr>
          <w:trHeight w:val="864"/>
        </w:trPr>
        <w:tc>
          <w:tcPr>
            <w:tcW w:type="dxa" w:w="374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Output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What specific, verifiable thing will exist that does not exist now</w:t>
            </w:r>
          </w:p>
        </w:tc>
        <w:tc>
          <w:tcPr>
            <w:tcW w:type="dxa" w:w="6048"/>
          </w:tcPr>
          <w:p/>
        </w:tc>
      </w:tr>
      <w:tr>
        <w:trPr>
          <w:trHeight w:val="864"/>
        </w:trPr>
        <w:tc>
          <w:tcPr>
            <w:tcW w:type="dxa" w:w="374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Owner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 named post, not an institution. If you cannot telephone it, it is not an owner</w:t>
            </w:r>
          </w:p>
        </w:tc>
        <w:tc>
          <w:tcPr>
            <w:tcW w:type="dxa" w:w="6048"/>
          </w:tcPr>
          <w:p/>
        </w:tc>
      </w:tr>
      <w:tr>
        <w:trPr>
          <w:trHeight w:val="864"/>
        </w:trPr>
        <w:tc>
          <w:tcPr>
            <w:tcW w:type="dxa" w:w="374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Deadline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A date, not a duration</w:t>
            </w:r>
          </w:p>
        </w:tc>
        <w:tc>
          <w:tcPr>
            <w:tcW w:type="dxa" w:w="6048"/>
          </w:tcPr>
          <w:p/>
        </w:tc>
      </w:tr>
      <w:tr>
        <w:trPr>
          <w:trHeight w:val="864"/>
        </w:trPr>
        <w:tc>
          <w:tcPr>
            <w:tcW w:type="dxa" w:w="374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Resource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Staff days, money, and whose approval is needed — and has it been checked?</w:t>
            </w:r>
          </w:p>
        </w:tc>
        <w:tc>
          <w:tcPr>
            <w:tcW w:type="dxa" w:w="6048"/>
          </w:tcPr>
          <w:p/>
        </w:tc>
      </w:tr>
      <w:tr>
        <w:trPr>
          <w:trHeight w:val="864"/>
        </w:trPr>
        <w:tc>
          <w:tcPr>
            <w:tcW w:type="dxa" w:w="3744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Indicator</w:t>
            </w:r>
          </w:p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How the body will know, at its next meeting, that this happened</w:t>
            </w:r>
          </w:p>
        </w:tc>
        <w:tc>
          <w:tcPr>
            <w:tcW w:type="dxa" w:w="6048"/>
          </w:tcPr>
          <w:p/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D6652"/>
          <w:sz w:val="25"/>
        </w:rPr>
        <w:t>Step 3 — Coordination and handover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608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Question</w:t>
            </w:r>
          </w:p>
        </w:tc>
        <w:tc>
          <w:tcPr>
            <w:tcW w:type="dxa" w:w="5184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answer</w:t>
            </w:r>
          </w:p>
        </w:tc>
      </w:tr>
      <w:tr>
        <w:trPr>
          <w:trHeight w:val="720"/>
        </w:trPr>
        <w:tc>
          <w:tcPr>
            <w:tcW w:type="dxa" w:w="460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Which other institutions must act, and were they in the room?</w:t>
            </w:r>
          </w:p>
        </w:tc>
        <w:tc>
          <w:tcPr>
            <w:tcW w:type="dxa" w:w="5184"/>
          </w:tcPr>
          <w:p/>
        </w:tc>
      </w:tr>
      <w:tr>
        <w:trPr>
          <w:trHeight w:val="720"/>
        </w:trPr>
        <w:tc>
          <w:tcPr>
            <w:tcW w:type="dxa" w:w="460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Which sectoral or thematic body picks this up, and at which meeting?</w:t>
            </w:r>
          </w:p>
        </w:tc>
        <w:tc>
          <w:tcPr>
            <w:tcW w:type="dxa" w:w="5184"/>
          </w:tcPr>
          <w:p/>
        </w:tc>
      </w:tr>
      <w:tr>
        <w:trPr>
          <w:trHeight w:val="720"/>
        </w:trPr>
        <w:tc>
          <w:tcPr>
            <w:tcW w:type="dxa" w:w="460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If both the Forum and the NTCC have an interest, which holds it — under your Monday protocol?</w:t>
            </w:r>
          </w:p>
        </w:tc>
        <w:tc>
          <w:tcPr>
            <w:tcW w:type="dxa" w:w="5184"/>
          </w:tcPr>
          <w:p/>
        </w:tc>
      </w:tr>
      <w:tr>
        <w:trPr>
          <w:trHeight w:val="720"/>
        </w:trPr>
        <w:tc>
          <w:tcPr>
            <w:tcW w:type="dxa" w:w="4608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Who transmits it, to whom, within how many days?</w:t>
            </w:r>
          </w:p>
        </w:tc>
        <w:tc>
          <w:tcPr>
            <w:tcW w:type="dxa" w:w="5184"/>
          </w:tcPr>
          <w:p/>
        </w:tc>
      </w:tr>
    </w:tbl>
    <w:p>
      <w:pPr>
        <w:spacing w:after="40"/>
      </w:pPr>
    </w:p>
    <w:p>
      <w:pPr>
        <w:spacing w:before="120" w:after="60"/>
      </w:pPr>
      <w:r>
        <w:rPr>
          <w:rFonts w:ascii="Calibri" w:hAnsi="Calibri"/>
          <w:b/>
          <w:i w:val="0"/>
          <w:color w:val="0D6652"/>
          <w:sz w:val="25"/>
        </w:rPr>
        <w:t>Step 4 — The Monday-morning test</w:t>
      </w:r>
    </w:p>
    <w:p>
      <w:pPr>
        <w:spacing w:before="0" w:after="60"/>
      </w:pPr>
      <w:r>
        <w:rPr>
          <w:rFonts w:ascii="Calibri" w:hAnsi="Calibri"/>
          <w:b w:val="0"/>
          <w:i/>
          <w:sz w:val="22"/>
        </w:rPr>
        <w:t>“Can the person who has to do this hear about it from the minutes alone, and know exactly what to do on Monday morning?”</w:t>
      </w:r>
    </w:p>
    <w:p>
      <w:pPr>
        <w:spacing w:before="0" w:after="60"/>
      </w:pPr>
      <w:r>
        <w:rPr>
          <w:rFonts w:ascii="Calibri" w:hAnsi="Calibri"/>
          <w:b/>
          <w:i w:val="0"/>
          <w:sz w:val="21"/>
        </w:rPr>
        <w:t>Read your framework aloud as if you were the owner reading the minute. What was missing?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none" w:sz="0"/>
          <w:left w:val="none" w:sz="0"/>
          <w:right w:val="none" w:sz="0"/>
          <w:insideV w:val="none" w:sz="0"/>
          <w:bottom w:val="single" w:sz="4" w:color="BFBFBF"/>
          <w:insideH w:val="single" w:sz="4" w:color="BFBFBF"/>
        </w:tblBorders>
      </w:tblPr>
      <w:tblGrid>
        <w:gridCol w:w="10080"/>
      </w:tblGrid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  <w:tr>
        <w:trPr>
          <w:trHeight w:val="432"/>
        </w:trPr>
        <w:tc>
          <w:tcPr>
            <w:tcW w:type="dxa" w:w="9792"/>
          </w:tcPr>
          <w:p>
            <w:pPr>
              <w:spacing w:after="0"/>
            </w:pPr>
          </w:p>
        </w:tc>
      </w:tr>
    </w:tbl>
    <w:p>
      <w:pPr>
        <w:spacing w:after="40"/>
      </w:pPr>
    </w:p>
    <w:p>
      <w:r>
        <w:br w:type="page"/>
      </w:r>
    </w:p>
    <w:p>
      <w:pPr>
        <w:spacing w:before="0" w:after="80"/>
      </w:pPr>
      <w:r>
        <w:rPr>
          <w:rFonts w:ascii="Calibri" w:hAnsi="Calibri"/>
          <w:b/>
          <w:i w:val="0"/>
          <w:color w:val="0E2841"/>
          <w:sz w:val="26"/>
        </w:rPr>
        <w:t>If your conclusion is in category three</w:t>
      </w:r>
    </w:p>
    <w:p>
      <w:pPr>
        <w:spacing w:before="0" w:after="80"/>
      </w:pPr>
      <w:r>
        <w:rPr>
          <w:rFonts w:ascii="Calibri" w:hAnsi="Calibri"/>
          <w:b w:val="0"/>
          <w:i/>
          <w:color w:val="595959"/>
          <w:sz w:val="20"/>
        </w:rPr>
        <w:t>It cannot be recorded as a commitment. Complete this instead.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4032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Element</w:t>
            </w:r>
          </w:p>
        </w:tc>
        <w:tc>
          <w:tcPr>
            <w:tcW w:type="dxa" w:w="5760"/>
            <w:shd w:val="clear" w:color="auto" w:fill="0D6652"/>
          </w:tcPr>
          <w:p>
            <w:pPr>
              <w:spacing w:before="20" w:after="40"/>
            </w:pPr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Your entry</w:t>
            </w:r>
          </w:p>
        </w:tc>
      </w:tr>
      <w:tr>
        <w:trPr>
          <w:trHeight w:val="864"/>
        </w:trPr>
        <w:tc>
          <w:tcPr>
            <w:tcW w:type="dxa" w:w="403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The recommendation, clearly labelled as such</w:t>
            </w:r>
          </w:p>
        </w:tc>
        <w:tc>
          <w:tcPr>
            <w:tcW w:type="dxa" w:w="5760"/>
          </w:tcPr>
          <w:p/>
        </w:tc>
      </w:tr>
      <w:tr>
        <w:trPr>
          <w:trHeight w:val="864"/>
        </w:trPr>
        <w:tc>
          <w:tcPr>
            <w:tcW w:type="dxa" w:w="403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The body it is addressed to, by name</w:t>
            </w:r>
          </w:p>
        </w:tc>
        <w:tc>
          <w:tcPr>
            <w:tcW w:type="dxa" w:w="5760"/>
          </w:tcPr>
          <w:p/>
        </w:tc>
      </w:tr>
      <w:tr>
        <w:trPr>
          <w:trHeight w:val="864"/>
        </w:trPr>
        <w:tc>
          <w:tcPr>
            <w:tcW w:type="dxa" w:w="403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The commitment within your control: who transmits it, to whom, by when</w:t>
            </w:r>
          </w:p>
        </w:tc>
        <w:tc>
          <w:tcPr>
            <w:tcW w:type="dxa" w:w="5760"/>
          </w:tcPr>
          <w:p/>
        </w:tc>
      </w:tr>
      <w:tr>
        <w:trPr>
          <w:trHeight w:val="864"/>
        </w:trPr>
        <w:tc>
          <w:tcPr>
            <w:tcW w:type="dxa" w:w="403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The tracking item: what the secretariat reports at each meeting</w:t>
            </w:r>
          </w:p>
        </w:tc>
        <w:tc>
          <w:tcPr>
            <w:tcW w:type="dxa" w:w="5760"/>
          </w:tcPr>
          <w:p/>
        </w:tc>
      </w:tr>
      <w:tr>
        <w:trPr>
          <w:trHeight w:val="864"/>
        </w:trPr>
        <w:tc>
          <w:tcPr>
            <w:tcW w:type="dxa" w:w="4032"/>
          </w:tcPr>
          <w:p>
            <w:pPr>
              <w:spacing w:before="20" w:after="20"/>
            </w:pPr>
            <w:r>
              <w:rPr>
                <w:rFonts w:ascii="Calibri" w:hAnsi="Calibri"/>
                <w:b w:val="0"/>
                <w:i w:val="0"/>
                <w:sz w:val="19"/>
              </w:rPr>
              <w:t>What the body does if no response comes after a stated period</w:t>
            </w:r>
          </w:p>
        </w:tc>
        <w:tc>
          <w:tcPr>
            <w:tcW w:type="dxa" w:w="5760"/>
          </w:tcPr>
          <w:p/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95959"/>
        <w:sz w:val="16"/>
      </w:rPr>
      <w:t>A3519987  ·  Handout 9.1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Calibri" w:hAnsi="Calibri"/>
        <w:color w:val="595959"/>
        <w:sz w:val="16"/>
      </w:rPr>
      <w:t>International Training Centre of the ILO   |   A3519987   |   Strengthening Tripartite Social Dialogue Institutions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