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2.1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Conduct and ethics scenarios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2 — Day one, 11:00–12:30   ·   25 minutes   ·   Four groups, two scenarios each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Decide how you would respond in the moment, then agree the rule — written in advance — that would have removed the judgement from the moment.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 w:val="0"/>
          <w:i/>
          <w:color w:val="E72F1F"/>
          <w:sz w:val="20"/>
        </w:rPr>
        <w:t>None of these involves anybody behaving badly. Most involve somebody trying to be helpful.</w:t>
      </w: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1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A member asks you to check a figure in their submission before it goes in. You would do the same for any member. Nobody else knows you did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2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A party raises a substantive point with you in the corridor before the meeting. You respond thoughtfully. The other two parties were not present.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3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In drafting the minutes you soften a sharp exchange because it reads badly. The party whose objection was softened reads the draft.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4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A government official hands you a memo with talking points for the briefing note, marked "not to be shared with the other social partners".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5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Owing to a printing error, one party’s documents will arrive a day later than the others’. You have been asked to send what is ready.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6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A party asks you to place their item first on the agenda, because their representative has to leave early.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7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A journalist telephones to ask what was decided at yesterday’s meeting. Nothing has been published.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pPr>
        <w:spacing w:before="140" w:after="60"/>
      </w:pPr>
      <w:r>
        <w:rPr>
          <w:rFonts w:ascii="Calibri" w:hAnsi="Calibri"/>
          <w:b/>
          <w:i w:val="0"/>
          <w:color w:val="0E2841"/>
          <w:sz w:val="23"/>
        </w:rPr>
        <w:t>Scenario 8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1"/>
        </w:rPr>
        <w:t>A senior official asks you to leave an item off the agenda entirely, saying that "the Minister would prefer it not be discussed at this stage".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say or do, there and then</w:t>
            </w:r>
          </w:p>
        </w:tc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Which party is watching, and what they conclude</w:t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rule, written in advance (one sentence)</w:t>
            </w:r>
          </w:p>
        </w:tc>
      </w:tr>
      <w:tr>
        <w:trPr>
          <w:trHeight w:val="936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456"/>
          </w:tcPr>
          <w:p/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Two tests for a difficult moment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mandate test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visibility test</w:t>
            </w:r>
          </w:p>
        </w:tc>
      </w:tr>
      <w:tr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there a conflict here, or can the secretariat act in congruence with the oath of office and the standard expected of the role?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the instrument or the rules of procedure address this, that settles it.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they do not: does the action advance the body’s function, or one party’s position?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I be comfortable if my children, my parents, or those close to me knew what I am doing?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I be comfortable if the other two parties learned of this tomorrow?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the answer to either is no, the action is wrong regardless of its justification.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0D6652"/>
          <w:sz w:val="28"/>
        </w:rPr>
        <w:t>Minimum standards of conduct — our draft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Assembled from the rules this room has just written.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92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Standard</w:t>
            </w:r>
          </w:p>
        </w:tc>
      </w:tr>
      <w:tr>
        <w:trPr>
          <w:trHeight w:val="576"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9216"/>
          </w:tcPr>
          <w:p/>
        </w:tc>
      </w:tr>
      <w:tr>
        <w:trPr>
          <w:trHeight w:val="576"/>
        </w:trPr>
        <w:tc>
          <w:tcPr>
            <w:tcW w:type="dxa" w:w="57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9216"/>
            <w:shd w:val="clear" w:color="auto" w:fill="F4F6F5"/>
          </w:tcPr>
          <w:p/>
        </w:tc>
      </w:tr>
      <w:tr>
        <w:trPr>
          <w:trHeight w:val="576"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9216"/>
          </w:tcPr>
          <w:p/>
        </w:tc>
      </w:tr>
      <w:tr>
        <w:trPr>
          <w:trHeight w:val="576"/>
        </w:trPr>
        <w:tc>
          <w:tcPr>
            <w:tcW w:type="dxa" w:w="57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9216"/>
            <w:shd w:val="clear" w:color="auto" w:fill="F4F6F5"/>
          </w:tcPr>
          <w:p/>
        </w:tc>
      </w:tr>
      <w:tr>
        <w:trPr>
          <w:trHeight w:val="576"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9216"/>
          </w:tcPr>
          <w:p/>
        </w:tc>
      </w:tr>
      <w:tr>
        <w:trPr>
          <w:trHeight w:val="576"/>
        </w:trPr>
        <w:tc>
          <w:tcPr>
            <w:tcW w:type="dxa" w:w="57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9216"/>
            <w:shd w:val="clear" w:color="auto" w:fill="F4F6F5"/>
          </w:tcPr>
          <w:p/>
        </w:tc>
      </w:tr>
      <w:tr>
        <w:trPr>
          <w:trHeight w:val="576"/>
        </w:trPr>
        <w:tc>
          <w:tcPr>
            <w:tcW w:type="dxa" w:w="57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9216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A3519988  ·  Handout 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A3519988   |   Strengthening the Capacities of the Secretariats of TSDIs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