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6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Secretariat templates pack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For use during the course and afterwards   ·   All sessions</w:t>
      </w:r>
    </w:p>
    <w:p>
      <w:pPr>
        <w:spacing w:before="0" w:after="200"/>
      </w:pPr>
      <w:r>
        <w:rPr>
          <w:rFonts w:ascii="Calibri" w:hAnsi="Calibri"/>
          <w:b w:val="0"/>
          <w:i/>
          <w:color w:val="595959"/>
          <w:sz w:val="21"/>
        </w:rPr>
        <w:t>Seven templates, drawn from the modules. They are drafted to be used as they stand, or adapted to your own institution’s format. Nothing in them requires a decision beyond the secretariat and the chair.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1  Dispatch log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6. One row per recipient, not one per dispatch — the point is to show on the face of it that all three parties were treated identically. Completed at the time, not reconstructed. Kept with the meeting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0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 ref. and version</w:t>
            </w:r>
          </w:p>
        </w:tc>
        <w:tc>
          <w:tcPr>
            <w:tcW w:type="dxa" w:w="27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Recipient</w:t>
            </w:r>
          </w:p>
        </w:tc>
        <w:tc>
          <w:tcPr>
            <w:tcW w:type="dxa" w:w="18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Constituency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Channel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Acknowledged?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Sent by</w:t>
            </w:r>
          </w:p>
        </w:tc>
      </w:tr>
      <w:tr>
        <w:trPr>
          <w:trHeight w:val="475"/>
        </w:trPr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3312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440"/>
          </w:tcPr>
          <w:p/>
        </w:tc>
      </w:tr>
      <w:tr>
        <w:trPr>
          <w:trHeight w:val="475"/>
        </w:trPr>
        <w:tc>
          <w:tcPr>
            <w:tcW w:type="dxa" w:w="1296"/>
            <w:shd w:val="clear" w:color="auto" w:fill="F4F6F5"/>
          </w:tcPr>
          <w:p/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3312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</w:tr>
      <w:tr>
        <w:trPr>
          <w:trHeight w:val="475"/>
        </w:trPr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3312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440"/>
          </w:tcPr>
          <w:p/>
        </w:tc>
      </w:tr>
      <w:tr>
        <w:trPr>
          <w:trHeight w:val="475"/>
        </w:trPr>
        <w:tc>
          <w:tcPr>
            <w:tcW w:type="dxa" w:w="1296"/>
            <w:shd w:val="clear" w:color="auto" w:fill="F4F6F5"/>
          </w:tcPr>
          <w:p/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3312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</w:tr>
      <w:tr>
        <w:trPr>
          <w:trHeight w:val="475"/>
        </w:trPr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3312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440"/>
          </w:tcPr>
          <w:p/>
        </w:tc>
      </w:tr>
      <w:tr>
        <w:trPr>
          <w:trHeight w:val="475"/>
        </w:trPr>
        <w:tc>
          <w:tcPr>
            <w:tcW w:type="dxa" w:w="1296"/>
            <w:shd w:val="clear" w:color="auto" w:fill="F4F6F5"/>
          </w:tcPr>
          <w:p/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3312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</w:tr>
      <w:tr>
        <w:trPr>
          <w:trHeight w:val="475"/>
        </w:trPr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3312"/>
          </w:tcPr>
          <w:p/>
        </w:tc>
        <w:tc>
          <w:tcPr>
            <w:tcW w:type="dxa" w:w="2736"/>
          </w:tcPr>
          <w:p/>
        </w:tc>
        <w:tc>
          <w:tcPr>
            <w:tcW w:type="dxa" w:w="1872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440"/>
          </w:tcPr>
          <w:p/>
        </w:tc>
      </w:tr>
      <w:tr>
        <w:trPr>
          <w:trHeight w:val="475"/>
        </w:trPr>
        <w:tc>
          <w:tcPr>
            <w:tcW w:type="dxa" w:w="1296"/>
            <w:shd w:val="clear" w:color="auto" w:fill="F4F6F5"/>
          </w:tcPr>
          <w:p/>
        </w:tc>
        <w:tc>
          <w:tcPr>
            <w:tcW w:type="dxa" w:w="1008"/>
            <w:shd w:val="clear" w:color="auto" w:fill="F4F6F5"/>
          </w:tcPr>
          <w:p/>
        </w:tc>
        <w:tc>
          <w:tcPr>
            <w:tcW w:type="dxa" w:w="3312"/>
            <w:shd w:val="clear" w:color="auto" w:fill="F4F6F5"/>
          </w:tcPr>
          <w:p/>
        </w:tc>
        <w:tc>
          <w:tcPr>
            <w:tcW w:type="dxa" w:w="2736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2  Briefing note for the chair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6. One page, issued two or three days before the meeting. It informs; it does not recommend an outcome. "The Chair may wish to note that the rules require X" is proper. "The Chair should push for option B" is not.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Agenda item</w:t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Decision sought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Positions likely to be taken, and where they differ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Procedural question likely to arise, and the rule that governs it</w:t>
            </w:r>
          </w:p>
        </w:tc>
        <w:tc>
          <w:tcPr>
            <w:tcW w:type="dxa" w:w="24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Suggested handling, and the fallback</w:t>
            </w:r>
          </w:p>
        </w:tc>
      </w:tr>
      <w:tr>
        <w:trPr>
          <w:trHeight w:val="1296"/>
        </w:trPr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3744"/>
          </w:tcPr>
          <w:p/>
        </w:tc>
        <w:tc>
          <w:tcPr>
            <w:tcW w:type="dxa" w:w="3456"/>
          </w:tcPr>
          <w:p/>
        </w:tc>
        <w:tc>
          <w:tcPr>
            <w:tcW w:type="dxa" w:w="2448"/>
          </w:tcPr>
          <w:p/>
        </w:tc>
      </w:tr>
      <w:tr>
        <w:trPr>
          <w:trHeight w:val="1296"/>
        </w:trPr>
        <w:tc>
          <w:tcPr>
            <w:tcW w:type="dxa" w:w="2592"/>
            <w:shd w:val="clear" w:color="auto" w:fill="F4F6F5"/>
          </w:tcPr>
          <w:p/>
        </w:tc>
        <w:tc>
          <w:tcPr>
            <w:tcW w:type="dxa" w:w="2592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3456"/>
            <w:shd w:val="clear" w:color="auto" w:fill="F4F6F5"/>
          </w:tcPr>
          <w:p/>
        </w:tc>
        <w:tc>
          <w:tcPr>
            <w:tcW w:type="dxa" w:w="2448"/>
            <w:shd w:val="clear" w:color="auto" w:fill="F4F6F5"/>
          </w:tcPr>
          <w:p/>
        </w:tc>
      </w:tr>
      <w:tr>
        <w:trPr>
          <w:trHeight w:val="1296"/>
        </w:trPr>
        <w:tc>
          <w:tcPr>
            <w:tcW w:type="dxa" w:w="2592"/>
          </w:tcPr>
          <w:p/>
        </w:tc>
        <w:tc>
          <w:tcPr>
            <w:tcW w:type="dxa" w:w="2592"/>
          </w:tcPr>
          <w:p/>
        </w:tc>
        <w:tc>
          <w:tcPr>
            <w:tcW w:type="dxa" w:w="3744"/>
          </w:tcPr>
          <w:p/>
        </w:tc>
        <w:tc>
          <w:tcPr>
            <w:tcW w:type="dxa" w:w="3456"/>
          </w:tcPr>
          <w:p/>
        </w:tc>
        <w:tc>
          <w:tcPr>
            <w:tcW w:type="dxa" w:w="2448"/>
          </w:tcPr>
          <w:p/>
        </w:tc>
      </w:tr>
      <w:tr>
        <w:trPr>
          <w:trHeight w:val="1296"/>
        </w:trPr>
        <w:tc>
          <w:tcPr>
            <w:tcW w:type="dxa" w:w="2592"/>
            <w:shd w:val="clear" w:color="auto" w:fill="F4F6F5"/>
          </w:tcPr>
          <w:p/>
        </w:tc>
        <w:tc>
          <w:tcPr>
            <w:tcW w:type="dxa" w:w="2592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3456"/>
            <w:shd w:val="clear" w:color="auto" w:fill="F4F6F5"/>
          </w:tcPr>
          <w:p/>
        </w:tc>
        <w:tc>
          <w:tcPr>
            <w:tcW w:type="dxa" w:w="2448"/>
            <w:shd w:val="clear" w:color="auto" w:fill="F4F6F5"/>
          </w:tcPr>
          <w:p/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3  Action sheet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4 and Module 9. Produced immediately after the meeting, attached to the minutes, circulated with them. Open actions carry forward automatically, with their original date.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5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No.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Conclusion ref.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Task or output</w:t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Responsible (post)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Deadline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it will be verified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Carried from</w:t>
            </w:r>
          </w:p>
        </w:tc>
      </w:tr>
      <w:tr>
        <w:trPr>
          <w:trHeight w:val="504"/>
        </w:trPr>
        <w:tc>
          <w:tcPr>
            <w:tcW w:type="dxa" w:w="576"/>
          </w:tcPr>
          <w:p/>
        </w:tc>
        <w:tc>
          <w:tcPr>
            <w:tcW w:type="dxa" w:w="1584"/>
          </w:tcPr>
          <w:p/>
        </w:tc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  <w:tc>
          <w:tcPr>
            <w:tcW w:type="dxa" w:w="1296"/>
          </w:tcPr>
          <w:p/>
        </w:tc>
      </w:tr>
      <w:tr>
        <w:trPr>
          <w:trHeight w:val="504"/>
        </w:trPr>
        <w:tc>
          <w:tcPr>
            <w:tcW w:type="dxa" w:w="57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592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</w:tr>
      <w:tr>
        <w:trPr>
          <w:trHeight w:val="504"/>
        </w:trPr>
        <w:tc>
          <w:tcPr>
            <w:tcW w:type="dxa" w:w="576"/>
          </w:tcPr>
          <w:p/>
        </w:tc>
        <w:tc>
          <w:tcPr>
            <w:tcW w:type="dxa" w:w="1584"/>
          </w:tcPr>
          <w:p/>
        </w:tc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  <w:tc>
          <w:tcPr>
            <w:tcW w:type="dxa" w:w="1296"/>
          </w:tcPr>
          <w:p/>
        </w:tc>
      </w:tr>
      <w:tr>
        <w:trPr>
          <w:trHeight w:val="504"/>
        </w:trPr>
        <w:tc>
          <w:tcPr>
            <w:tcW w:type="dxa" w:w="57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592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</w:tr>
      <w:tr>
        <w:trPr>
          <w:trHeight w:val="504"/>
        </w:trPr>
        <w:tc>
          <w:tcPr>
            <w:tcW w:type="dxa" w:w="576"/>
          </w:tcPr>
          <w:p/>
        </w:tc>
        <w:tc>
          <w:tcPr>
            <w:tcW w:type="dxa" w:w="1584"/>
          </w:tcPr>
          <w:p/>
        </w:tc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  <w:tc>
          <w:tcPr>
            <w:tcW w:type="dxa" w:w="1296"/>
          </w:tcPr>
          <w:p/>
        </w:tc>
      </w:tr>
      <w:tr>
        <w:trPr>
          <w:trHeight w:val="504"/>
        </w:trPr>
        <w:tc>
          <w:tcPr>
            <w:tcW w:type="dxa" w:w="57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592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</w:tr>
      <w:tr>
        <w:trPr>
          <w:trHeight w:val="504"/>
        </w:trPr>
        <w:tc>
          <w:tcPr>
            <w:tcW w:type="dxa" w:w="576"/>
          </w:tcPr>
          <w:p/>
        </w:tc>
        <w:tc>
          <w:tcPr>
            <w:tcW w:type="dxa" w:w="1584"/>
          </w:tcPr>
          <w:p/>
        </w:tc>
        <w:tc>
          <w:tcPr>
            <w:tcW w:type="dxa" w:w="3744"/>
          </w:tcPr>
          <w:p/>
        </w:tc>
        <w:tc>
          <w:tcPr>
            <w:tcW w:type="dxa" w:w="2592"/>
          </w:tcPr>
          <w:p/>
        </w:tc>
        <w:tc>
          <w:tcPr>
            <w:tcW w:type="dxa" w:w="129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  <w:tc>
          <w:tcPr>
            <w:tcW w:type="dxa" w:w="1296"/>
          </w:tcPr>
          <w:p/>
        </w:tc>
      </w:tr>
      <w:tr>
        <w:trPr>
          <w:trHeight w:val="504"/>
        </w:trPr>
        <w:tc>
          <w:tcPr>
            <w:tcW w:type="dxa" w:w="576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592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144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4  Register of conclusions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9. One continuous document. Nothing is ever deleted — items are closed with a reason. Tabled at every ordinary meeting as a standing item.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15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Res. no.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Adopted (date / meeting)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conclusion</w:t>
            </w:r>
          </w:p>
        </w:tc>
        <w:tc>
          <w:tcPr>
            <w:tcW w:type="dxa" w:w="21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 (post)</w:t>
            </w:r>
          </w:p>
        </w:tc>
        <w:tc>
          <w:tcPr>
            <w:tcW w:type="dxa" w:w="12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Deadline</w:t>
            </w:r>
          </w:p>
        </w:tc>
        <w:tc>
          <w:tcPr>
            <w:tcW w:type="dxa" w:w="23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Indicator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8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Last updated / by</w:t>
            </w:r>
          </w:p>
        </w:tc>
      </w:tr>
      <w:tr>
        <w:trPr>
          <w:trHeight w:val="504"/>
        </w:trPr>
        <w:tc>
          <w:tcPr>
            <w:tcW w:type="dxa" w:w="1152"/>
          </w:tcPr>
          <w:p/>
        </w:tc>
        <w:tc>
          <w:tcPr>
            <w:tcW w:type="dxa" w:w="2160"/>
          </w:tcPr>
          <w:p/>
        </w:tc>
        <w:tc>
          <w:tcPr>
            <w:tcW w:type="dxa" w:w="3744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  <w:tc>
          <w:tcPr>
            <w:tcW w:type="dxa" w:w="1872"/>
          </w:tcPr>
          <w:p/>
        </w:tc>
      </w:tr>
      <w:tr>
        <w:trPr>
          <w:trHeight w:val="504"/>
        </w:trPr>
        <w:tc>
          <w:tcPr>
            <w:tcW w:type="dxa" w:w="1152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30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504"/>
        </w:trPr>
        <w:tc>
          <w:tcPr>
            <w:tcW w:type="dxa" w:w="1152"/>
          </w:tcPr>
          <w:p/>
        </w:tc>
        <w:tc>
          <w:tcPr>
            <w:tcW w:type="dxa" w:w="2160"/>
          </w:tcPr>
          <w:p/>
        </w:tc>
        <w:tc>
          <w:tcPr>
            <w:tcW w:type="dxa" w:w="3744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  <w:tc>
          <w:tcPr>
            <w:tcW w:type="dxa" w:w="1872"/>
          </w:tcPr>
          <w:p/>
        </w:tc>
      </w:tr>
      <w:tr>
        <w:trPr>
          <w:trHeight w:val="504"/>
        </w:trPr>
        <w:tc>
          <w:tcPr>
            <w:tcW w:type="dxa" w:w="1152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30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504"/>
        </w:trPr>
        <w:tc>
          <w:tcPr>
            <w:tcW w:type="dxa" w:w="1152"/>
          </w:tcPr>
          <w:p/>
        </w:tc>
        <w:tc>
          <w:tcPr>
            <w:tcW w:type="dxa" w:w="2160"/>
          </w:tcPr>
          <w:p/>
        </w:tc>
        <w:tc>
          <w:tcPr>
            <w:tcW w:type="dxa" w:w="3744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  <w:tc>
          <w:tcPr>
            <w:tcW w:type="dxa" w:w="1872"/>
          </w:tcPr>
          <w:p/>
        </w:tc>
      </w:tr>
      <w:tr>
        <w:trPr>
          <w:trHeight w:val="504"/>
        </w:trPr>
        <w:tc>
          <w:tcPr>
            <w:tcW w:type="dxa" w:w="1152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30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  <w:tr>
        <w:trPr>
          <w:trHeight w:val="504"/>
        </w:trPr>
        <w:tc>
          <w:tcPr>
            <w:tcW w:type="dxa" w:w="1152"/>
          </w:tcPr>
          <w:p/>
        </w:tc>
        <w:tc>
          <w:tcPr>
            <w:tcW w:type="dxa" w:w="2160"/>
          </w:tcPr>
          <w:p/>
        </w:tc>
        <w:tc>
          <w:tcPr>
            <w:tcW w:type="dxa" w:w="3744"/>
          </w:tcPr>
          <w:p/>
        </w:tc>
        <w:tc>
          <w:tcPr>
            <w:tcW w:type="dxa" w:w="2160"/>
          </w:tcPr>
          <w:p/>
        </w:tc>
        <w:tc>
          <w:tcPr>
            <w:tcW w:type="dxa" w:w="1296"/>
          </w:tcPr>
          <w:p/>
        </w:tc>
        <w:tc>
          <w:tcPr>
            <w:tcW w:type="dxa" w:w="2304"/>
          </w:tcPr>
          <w:p/>
        </w:tc>
        <w:tc>
          <w:tcPr>
            <w:tcW w:type="dxa" w:w="1584"/>
          </w:tcPr>
          <w:p/>
        </w:tc>
        <w:tc>
          <w:tcPr>
            <w:tcW w:type="dxa" w:w="1872"/>
          </w:tcPr>
          <w:p/>
        </w:tc>
      </w:tr>
      <w:tr>
        <w:trPr>
          <w:trHeight w:val="504"/>
        </w:trPr>
        <w:tc>
          <w:tcPr>
            <w:tcW w:type="dxa" w:w="1152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2160"/>
            <w:shd w:val="clear" w:color="auto" w:fill="F4F6F5"/>
          </w:tcPr>
          <w:p/>
        </w:tc>
        <w:tc>
          <w:tcPr>
            <w:tcW w:type="dxa" w:w="1296"/>
            <w:shd w:val="clear" w:color="auto" w:fill="F4F6F5"/>
          </w:tcPr>
          <w:p/>
        </w:tc>
        <w:tc>
          <w:tcPr>
            <w:tcW w:type="dxa" w:w="2304"/>
            <w:shd w:val="clear" w:color="auto" w:fill="F4F6F5"/>
          </w:tcPr>
          <w:p/>
        </w:tc>
        <w:tc>
          <w:tcPr>
            <w:tcW w:type="dxa" w:w="1584"/>
            <w:shd w:val="clear" w:color="auto" w:fill="F4F6F5"/>
          </w:tcPr>
          <w:p/>
        </w:tc>
        <w:tc>
          <w:tcPr>
            <w:tcW w:type="dxa" w:w="1872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 w:val="0"/>
          <w:i/>
          <w:color w:val="E72F1F"/>
          <w:sz w:val="20"/>
        </w:rPr>
        <w:t>Status values — use only these: not yet due  ·  on track  ·  delayed, new date agreed  ·  delayed, no new date  ·  blocked, reason recorded  ·  closed, delivered  ·  closed, superseded. Never "ongoing".</w:t>
      </w: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5  Pre-meeting contact — standard wording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9. Sent about one week before each meeting to every owner with an item falling due. The consequence in the third paragraph is what makes the system work.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3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20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Wording</w:t>
            </w:r>
          </w:p>
        </w:tc>
      </w:tr>
      <w:tr>
        <w:trPr>
          <w:trHeight w:val="1008"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ask</w:t>
            </w:r>
          </w:p>
        </w:tc>
        <w:tc>
          <w:tcPr>
            <w:tcW w:type="dxa" w:w="120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[body] adopted the following conclusion on [date]: "[text of the conclusion]". You are recorded as the owner, with a deadline of [date]. Could you confirm the current status by [date, three working days from sending]?</w:t>
            </w:r>
          </w:p>
        </w:tc>
      </w:tr>
      <w:tr>
        <w:trPr>
          <w:trHeight w:val="1008"/>
        </w:trPr>
        <w:tc>
          <w:tcPr>
            <w:tcW w:type="dxa" w:w="23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options</w:t>
            </w:r>
          </w:p>
        </w:tc>
        <w:tc>
          <w:tcPr>
            <w:tcW w:type="dxa" w:w="1209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Please reply with one of the following: on track; delayed, new date [date]; delayed, no new date; blocked, because [reason]; or delivered, evidence attached.</w:t>
            </w:r>
          </w:p>
        </w:tc>
      </w:tr>
      <w:tr>
        <w:trPr>
          <w:trHeight w:val="1008"/>
        </w:trPr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consequence</w:t>
            </w:r>
          </w:p>
        </w:tc>
        <w:tc>
          <w:tcPr>
            <w:tcW w:type="dxa" w:w="120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Items recorded as delayed with no new date, or blocked, are placed on the agenda of the next meeting for decision. All other items are noted without discussion.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6  My 30-day plan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11. Three quick wins. Each entirely within your own authority — not something you will propose, something you will do. One on protocol or documentation, one on technical support, one on follow-up.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Specific — what exactly will be done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Measurable — how you will know it is done</w:t>
            </w:r>
          </w:p>
        </w:tc>
        <w:tc>
          <w:tcPr>
            <w:tcW w:type="dxa" w:w="26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Time-bound — date within 30 days</w:t>
            </w:r>
          </w:p>
        </w:tc>
      </w:tr>
      <w:tr>
        <w:trPr>
          <w:trHeight w:val="122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Protocol or documentation</w:t>
            </w:r>
          </w:p>
        </w:tc>
        <w:tc>
          <w:tcPr>
            <w:tcW w:type="dxa" w:w="4896"/>
          </w:tcPr>
          <w:p/>
        </w:tc>
        <w:tc>
          <w:tcPr>
            <w:tcW w:type="dxa" w:w="3744"/>
          </w:tcPr>
          <w:p/>
        </w:tc>
        <w:tc>
          <w:tcPr>
            <w:tcW w:type="dxa" w:w="2664"/>
          </w:tcPr>
          <w:p/>
        </w:tc>
      </w:tr>
      <w:tr>
        <w:trPr>
          <w:trHeight w:val="122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Technical support</w:t>
            </w:r>
          </w:p>
        </w:tc>
        <w:tc>
          <w:tcPr>
            <w:tcW w:type="dxa" w:w="4896"/>
          </w:tcPr>
          <w:p/>
        </w:tc>
        <w:tc>
          <w:tcPr>
            <w:tcW w:type="dxa" w:w="3744"/>
          </w:tcPr>
          <w:p/>
        </w:tc>
        <w:tc>
          <w:tcPr>
            <w:tcW w:type="dxa" w:w="2664"/>
          </w:tcPr>
          <w:p/>
        </w:tc>
      </w:tr>
      <w:tr>
        <w:trPr>
          <w:trHeight w:val="122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Follow-up</w:t>
            </w:r>
          </w:p>
        </w:tc>
        <w:tc>
          <w:tcPr>
            <w:tcW w:type="dxa" w:w="4896"/>
          </w:tcPr>
          <w:p/>
        </w:tc>
        <w:tc>
          <w:tcPr>
            <w:tcW w:type="dxa" w:w="3744"/>
          </w:tcPr>
          <w:p/>
        </w:tc>
        <w:tc>
          <w:tcPr>
            <w:tcW w:type="dxa" w:w="2664"/>
          </w:tcPr>
          <w:p/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sz w:val="22"/>
        </w:rPr>
        <w:t>Name: ______________________________    Institution: ______________________________    Date: ______________</w:t>
      </w: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30"/>
        </w:rPr>
        <w:t>7  Three-month institutional roadmap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Module 11. For the team, not the individual. Each month lays the foundation for the next. Consistent small improvements, sustained, change an institution; a single large effort, unsustained, changes nothing and exhausts the people who made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Theme</w:t>
            </w:r>
          </w:p>
        </w:tc>
        <w:tc>
          <w:tcPr>
            <w:tcW w:type="dxa" w:w="547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team deliverable — the major, verifiable result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modules this applies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leads</w:t>
            </w:r>
          </w:p>
        </w:tc>
      </w:tr>
      <w:tr>
        <w:trPr>
          <w:trHeight w:val="1440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Foundation and accountability</w:t>
            </w:r>
          </w:p>
        </w:tc>
        <w:tc>
          <w:tcPr>
            <w:tcW w:type="dxa" w:w="5472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</w:tr>
      <w:tr>
        <w:trPr>
          <w:trHeight w:val="1440"/>
        </w:trPr>
        <w:tc>
          <w:tcPr>
            <w:tcW w:type="dxa" w:w="86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168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Technical excellence and neutrality</w:t>
            </w:r>
          </w:p>
        </w:tc>
        <w:tc>
          <w:tcPr>
            <w:tcW w:type="dxa" w:w="5472"/>
            <w:shd w:val="clear" w:color="auto" w:fill="F4F6F5"/>
          </w:tcPr>
          <w:p/>
        </w:tc>
        <w:tc>
          <w:tcPr>
            <w:tcW w:type="dxa" w:w="2880"/>
            <w:shd w:val="clear" w:color="auto" w:fill="F4F6F5"/>
          </w:tcPr>
          <w:p/>
        </w:tc>
        <w:tc>
          <w:tcPr>
            <w:tcW w:type="dxa" w:w="2016"/>
            <w:shd w:val="clear" w:color="auto" w:fill="F4F6F5"/>
          </w:tcPr>
          <w:p/>
        </w:tc>
      </w:tr>
      <w:tr>
        <w:trPr>
          <w:trHeight w:val="1440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Sustainability and planning</w:t>
            </w:r>
          </w:p>
        </w:tc>
        <w:tc>
          <w:tcPr>
            <w:tcW w:type="dxa" w:w="5472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E2841"/>
          <w:sz w:val="22"/>
        </w:rPr>
        <w:t>The rallying statement for your team — maximum fifty words, on why consistent small improvement beats a single push: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3680"/>
      </w:tblGrid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14400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Calibri" w:hAnsi="Calibri"/>
          <w:b/>
          <w:i w:val="0"/>
          <w:sz w:val="22"/>
        </w:rPr>
        <w:t>Institution: ______________________________    Team members: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A3519988  ·  Handout 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A3519988   |   Strengthening the Capacities of the Secretariats of TSDIs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