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284C7"/>
          <w:sz w:val="20"/>
        </w:rPr>
        <w:t>PARTICIPANT HANDOUT 5–7  ·  SESSION 7</w:t>
      </w:r>
    </w:p>
    <w:p>
      <w:pPr>
        <w:pStyle w:val="Heading1"/>
        <w:spacing w:after="120"/>
      </w:pPr>
      <w:r>
        <w:t>One Decision, Three Gates: Participant Activity Pack</w:t>
      </w:r>
    </w:p>
    <w:p>
      <w:pPr>
        <w:spacing w:after="320"/>
      </w:pPr>
      <w:r>
        <w:rPr>
          <w:i/>
          <w:sz w:val="24"/>
        </w:rPr>
        <w:t>A practical workbook for drafting inclusive, clear, and actionable policy decisions.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shd w:val="clear" w:color="auto" w:fill="1E293B"/>
            <w:tcMar>
              <w:top w:w="120" w:type="dxa"/>
              <w:bottom w:w="120" w:type="dxa"/>
              <w:left w:w="120" w:type="dxa"/>
              <w:right w:w="120" w:type="dxa"/>
            </w:tcMar>
          </w:tcPr>
          <w:p>
            <w:pPr>
              <w:jc w:val="left"/>
            </w:pPr>
            <w:r>
              <w:rPr>
                <w:b/>
                <w:color w:val="FFFFFF"/>
                <w:sz w:val="20"/>
              </w:rPr>
              <w:t>Round</w:t>
            </w:r>
          </w:p>
        </w:tc>
        <w:tc>
          <w:tcPr>
            <w:tcW w:type="dxa" w:w="2160"/>
            <w:shd w:val="clear" w:color="auto" w:fill="1E293B"/>
            <w:tcMar>
              <w:top w:w="120" w:type="dxa"/>
              <w:bottom w:w="120" w:type="dxa"/>
              <w:left w:w="120" w:type="dxa"/>
              <w:right w:w="120" w:type="dxa"/>
            </w:tcMar>
          </w:tcPr>
          <w:p>
            <w:pPr>
              <w:jc w:val="left"/>
            </w:pPr>
            <w:r>
              <w:rPr>
                <w:b/>
                <w:color w:val="FFFFFF"/>
                <w:sz w:val="20"/>
              </w:rPr>
              <w:t>The Gate</w:t>
            </w:r>
          </w:p>
        </w:tc>
        <w:tc>
          <w:tcPr>
            <w:tcW w:type="dxa" w:w="4896"/>
            <w:shd w:val="clear" w:color="auto" w:fill="1E293B"/>
            <w:tcMar>
              <w:top w:w="120" w:type="dxa"/>
              <w:bottom w:w="120" w:type="dxa"/>
              <w:left w:w="120" w:type="dxa"/>
              <w:right w:w="120" w:type="dxa"/>
            </w:tcMar>
          </w:tcPr>
          <w:p>
            <w:pPr>
              <w:jc w:val="left"/>
            </w:pPr>
            <w:r>
              <w:rPr>
                <w:b/>
                <w:color w:val="FFFFFF"/>
                <w:sz w:val="20"/>
              </w:rPr>
              <w:t>Core Question</w:t>
            </w:r>
          </w:p>
        </w:tc>
        <w:tc>
          <w:tcPr>
            <w:tcW w:type="dxa" w:w="1152"/>
            <w:shd w:val="clear" w:color="auto" w:fill="1E293B"/>
            <w:tcMar>
              <w:top w:w="120" w:type="dxa"/>
              <w:bottom w:w="120" w:type="dxa"/>
              <w:left w:w="120" w:type="dxa"/>
              <w:right w:w="120" w:type="dxa"/>
            </w:tcMar>
          </w:tcPr>
          <w:p>
            <w:pPr>
              <w:jc w:val="left"/>
            </w:pPr>
            <w:r>
              <w:rPr>
                <w:b/>
                <w:color w:val="FFFFFF"/>
                <w:sz w:val="20"/>
              </w:rPr>
              <w:t>Points</w:t>
            </w:r>
          </w:p>
        </w:tc>
      </w:tr>
      <w:tr>
        <w:tc>
          <w:tcPr>
            <w:tcW w:type="dxa" w:w="1152"/>
            <w:shd w:val="clear" w:color="auto" w:fill="F8F9FA"/>
            <w:tcMar>
              <w:top w:w="100" w:type="dxa"/>
              <w:bottom w:w="100" w:type="dxa"/>
              <w:left w:w="120" w:type="dxa"/>
              <w:right w:w="120" w:type="dxa"/>
            </w:tcMar>
          </w:tcPr>
          <w:p>
            <w:r>
              <w:rPr>
                <w:sz w:val="20"/>
              </w:rPr>
              <w:t>1</w:t>
            </w:r>
          </w:p>
        </w:tc>
        <w:tc>
          <w:tcPr>
            <w:tcW w:type="dxa" w:w="2160"/>
            <w:shd w:val="clear" w:color="auto" w:fill="F8F9FA"/>
            <w:tcMar>
              <w:top w:w="100" w:type="dxa"/>
              <w:bottom w:w="100" w:type="dxa"/>
              <w:left w:w="120" w:type="dxa"/>
              <w:right w:w="120" w:type="dxa"/>
            </w:tcMar>
          </w:tcPr>
          <w:p>
            <w:r>
              <w:rPr>
                <w:sz w:val="20"/>
              </w:rPr>
              <w:t>Reach</w:t>
            </w:r>
          </w:p>
        </w:tc>
        <w:tc>
          <w:tcPr>
            <w:tcW w:type="dxa" w:w="4896"/>
            <w:shd w:val="clear" w:color="auto" w:fill="F8F9FA"/>
            <w:tcMar>
              <w:top w:w="100" w:type="dxa"/>
              <w:bottom w:w="100" w:type="dxa"/>
              <w:left w:w="120" w:type="dxa"/>
              <w:right w:w="120" w:type="dxa"/>
            </w:tcMar>
          </w:tcPr>
          <w:p>
            <w:r>
              <w:rPr>
                <w:sz w:val="20"/>
              </w:rPr>
              <w:t>Who does this measure cover, and who does it quietly leave out?</w:t>
            </w:r>
          </w:p>
        </w:tc>
        <w:tc>
          <w:tcPr>
            <w:tcW w:type="dxa" w:w="1152"/>
            <w:shd w:val="clear" w:color="auto" w:fill="F8F9FA"/>
            <w:tcMar>
              <w:top w:w="100" w:type="dxa"/>
              <w:bottom w:w="100" w:type="dxa"/>
              <w:left w:w="120" w:type="dxa"/>
              <w:right w:w="120" w:type="dxa"/>
            </w:tcMar>
          </w:tcPr>
          <w:p>
            <w:r>
              <w:rPr>
                <w:sz w:val="20"/>
              </w:rPr>
              <w:t>10</w:t>
            </w:r>
          </w:p>
        </w:tc>
      </w:tr>
      <w:tr>
        <w:tc>
          <w:tcPr>
            <w:tcW w:type="dxa" w:w="1152"/>
            <w:shd w:val="clear" w:color="auto" w:fill="FFFFFF"/>
            <w:tcMar>
              <w:top w:w="100" w:type="dxa"/>
              <w:bottom w:w="100" w:type="dxa"/>
              <w:left w:w="120" w:type="dxa"/>
              <w:right w:w="120" w:type="dxa"/>
            </w:tcMar>
          </w:tcPr>
          <w:p>
            <w:r>
              <w:rPr>
                <w:sz w:val="20"/>
              </w:rPr>
              <w:t>2</w:t>
            </w:r>
          </w:p>
        </w:tc>
        <w:tc>
          <w:tcPr>
            <w:tcW w:type="dxa" w:w="2160"/>
            <w:shd w:val="clear" w:color="auto" w:fill="FFFFFF"/>
            <w:tcMar>
              <w:top w:w="100" w:type="dxa"/>
              <w:bottom w:w="100" w:type="dxa"/>
              <w:left w:w="120" w:type="dxa"/>
              <w:right w:w="120" w:type="dxa"/>
            </w:tcMar>
          </w:tcPr>
          <w:p>
            <w:r>
              <w:rPr>
                <w:sz w:val="20"/>
              </w:rPr>
              <w:t>Evidence</w:t>
            </w:r>
          </w:p>
        </w:tc>
        <w:tc>
          <w:tcPr>
            <w:tcW w:type="dxa" w:w="4896"/>
            <w:shd w:val="clear" w:color="auto" w:fill="FFFFFF"/>
            <w:tcMar>
              <w:top w:w="100" w:type="dxa"/>
              <w:bottom w:w="100" w:type="dxa"/>
              <w:left w:w="120" w:type="dxa"/>
              <w:right w:w="120" w:type="dxa"/>
            </w:tcMar>
          </w:tcPr>
          <w:p>
            <w:r>
              <w:rPr>
                <w:sz w:val="20"/>
              </w:rPr>
              <w:t>What facts are agreed upon before debate starts, and who provided them?</w:t>
            </w:r>
          </w:p>
        </w:tc>
        <w:tc>
          <w:tcPr>
            <w:tcW w:type="dxa" w:w="1152"/>
            <w:shd w:val="clear" w:color="auto" w:fill="FFFFFF"/>
            <w:tcMar>
              <w:top w:w="100" w:type="dxa"/>
              <w:bottom w:w="100" w:type="dxa"/>
              <w:left w:w="120" w:type="dxa"/>
              <w:right w:w="120" w:type="dxa"/>
            </w:tcMar>
          </w:tcPr>
          <w:p>
            <w:r>
              <w:rPr>
                <w:sz w:val="20"/>
              </w:rPr>
              <w:t>10</w:t>
            </w:r>
          </w:p>
        </w:tc>
      </w:tr>
      <w:tr>
        <w:tc>
          <w:tcPr>
            <w:tcW w:type="dxa" w:w="1152"/>
            <w:shd w:val="clear" w:color="auto" w:fill="F8F9FA"/>
            <w:tcMar>
              <w:top w:w="100" w:type="dxa"/>
              <w:bottom w:w="100" w:type="dxa"/>
              <w:left w:w="120" w:type="dxa"/>
              <w:right w:w="120" w:type="dxa"/>
            </w:tcMar>
          </w:tcPr>
          <w:p>
            <w:r>
              <w:rPr>
                <w:sz w:val="20"/>
              </w:rPr>
              <w:t>3</w:t>
            </w:r>
          </w:p>
        </w:tc>
        <w:tc>
          <w:tcPr>
            <w:tcW w:type="dxa" w:w="2160"/>
            <w:shd w:val="clear" w:color="auto" w:fill="F8F9FA"/>
            <w:tcMar>
              <w:top w:w="100" w:type="dxa"/>
              <w:bottom w:w="100" w:type="dxa"/>
              <w:left w:w="120" w:type="dxa"/>
              <w:right w:w="120" w:type="dxa"/>
            </w:tcMar>
          </w:tcPr>
          <w:p>
            <w:r>
              <w:rPr>
                <w:sz w:val="20"/>
              </w:rPr>
              <w:t>Delivery</w:t>
            </w:r>
          </w:p>
        </w:tc>
        <w:tc>
          <w:tcPr>
            <w:tcW w:type="dxa" w:w="4896"/>
            <w:shd w:val="clear" w:color="auto" w:fill="F8F9FA"/>
            <w:tcMar>
              <w:top w:w="100" w:type="dxa"/>
              <w:bottom w:w="100" w:type="dxa"/>
              <w:left w:w="120" w:type="dxa"/>
              <w:right w:w="120" w:type="dxa"/>
            </w:tcMar>
          </w:tcPr>
          <w:p>
            <w:r>
              <w:rPr>
                <w:sz w:val="20"/>
              </w:rPr>
              <w:t>Six months from now, how will anyone verify that this action occurred?</w:t>
            </w:r>
          </w:p>
        </w:tc>
        <w:tc>
          <w:tcPr>
            <w:tcW w:type="dxa" w:w="1152"/>
            <w:shd w:val="clear" w:color="auto" w:fill="F8F9FA"/>
            <w:tcMar>
              <w:top w:w="100" w:type="dxa"/>
              <w:bottom w:w="100" w:type="dxa"/>
              <w:left w:w="120" w:type="dxa"/>
              <w:right w:w="120" w:type="dxa"/>
            </w:tcMar>
          </w:tcPr>
          <w:p>
            <w:r>
              <w:rPr>
                <w:sz w:val="20"/>
              </w:rPr>
              <w:t>10</w:t>
            </w:r>
          </w:p>
        </w:tc>
      </w:tr>
    </w:tbl>
    <w:p>
      <w:pPr>
        <w:spacing w:after="240"/>
      </w:pPr>
    </w:p>
    <w:p>
      <w:pPr>
        <w:pStyle w:val="Heading2"/>
      </w:pPr>
      <w:r>
        <w:t>1. The Example Policy Paragraph We Will Improve</w:t>
      </w:r>
    </w:p>
    <w:p>
      <w:pPr>
        <w:spacing w:after="160"/>
      </w:pPr>
      <w:r>
        <w:rPr>
          <w:i/>
          <w:sz w:val="20"/>
        </w:rPr>
        <w:t>Note: This paragraph is a simulated exercise text created for training purposes. It is not an official statement of law.</w:t>
      </w:r>
    </w:p>
    <w:tbl>
      <w:tblPr>
        <w:tblW w:type="auto" w:w="0"/>
        <w:jc w:val="center"/>
        <w:tblLayout w:type="fixed"/>
        <w:tblLook w:firstColumn="1" w:firstRow="1" w:lastColumn="0" w:lastRow="0" w:noHBand="0" w:noVBand="1" w:val="04A0"/>
      </w:tblPr>
      <w:tblGrid>
        <w:gridCol w:w="9360"/>
      </w:tblGrid>
      <w:tr>
        <w:tc>
          <w:tcPr>
            <w:tcW w:type="dxa" w:w="9360"/>
            <w:shd w:val="clear" w:color="auto" w:fill="F0F9FF"/>
            <w:tcMar>
              <w:top w:w="140" w:type="dxa"/>
              <w:bottom w:w="140" w:type="dxa"/>
              <w:left w:w="160" w:type="dxa"/>
              <w:right w:w="160" w:type="dxa"/>
            </w:tcMar>
          </w:tcPr>
          <w:p>
            <w:r>
              <w:rPr>
                <w:color w:val="1E293B"/>
                <w:sz w:val="21"/>
              </w:rPr>
              <w:t>“The Committee, having considered safety conditions in the sector, agrees that establishments with fifty or more workers shall extend their safety committee’s hazard review to cover contracted and seasonal work, and display emergency procedures at every worksite; that workers may report unsafe conditions in writing to the committee; and that stakeholders will improve enforcement soon. Particular attention will be given to the needs of women workers.”</w:t>
            </w:r>
          </w:p>
        </w:tc>
      </w:tr>
    </w:tbl>
    <w:p>
      <w:pPr>
        <w:spacing w:before="200" w:after="320"/>
      </w:pPr>
      <w:r>
        <w:rPr>
          <w:b/>
        </w:rPr>
        <w:t xml:space="preserve">Sector Context: </w:t>
      </w:r>
      <w:r>
        <w:t>In this sector, most workers are informal and work in small units with fewer than 50 workers. Subcontracted and home-based work is common, and women hold most of the lowest-graded and highest-risk positions.</w:t>
      </w:r>
    </w:p>
    <w:p>
      <w:pPr>
        <w:pStyle w:val="Heading2"/>
      </w:pPr>
      <w:r>
        <w:t>2. Round 1 · Gate One — Who Does It Miss?</w:t>
      </w:r>
    </w:p>
    <w:p>
      <w:pPr>
        <w:spacing w:after="160"/>
      </w:pPr>
      <w:r>
        <w:rPr>
          <w:b/>
        </w:rPr>
        <w:t xml:space="preserve">Task Instructions: </w:t>
      </w:r>
      <w:r>
        <w:t>Analyze the paragraph using the four reach questions. Identify who is excluded and write one amendment that extends policy coverage.</w:t>
      </w:r>
    </w:p>
    <w:p>
      <w:pPr>
        <w:spacing w:after="240"/>
      </w:pPr>
      <w:r>
        <w:rPr>
          <w:b/>
        </w:rPr>
        <w:t>The Four Questions to Ask:</w:t>
        <w:br/>
      </w:r>
      <w:r>
        <w:t>1. Does the policy require a written contract or registered employer?</w:t>
        <w:br/>
      </w:r>
      <w:r>
        <w:t>2. Does it require the worker to complain first, carrying personal risk?</w:t>
        <w:br/>
      </w:r>
      <w:r>
        <w:t>3. Does it reach workers through channels they already use in daily life?</w:t>
        <w:br/>
      </w:r>
      <w:r>
        <w:t>4. Is administrative paperwork placed on the party best able to handle it?</w:t>
      </w:r>
    </w:p>
    <w:p>
      <w:r>
        <w:rPr>
          <w:b/>
        </w:rPr>
        <w:t>Step 1 — Identify Conditions and Exclusions</w:t>
      </w:r>
    </w:p>
    <w:tbl>
      <w:tblPr>
        <w:tblW w:type="auto" w:w="0"/>
        <w:jc w:val="center"/>
        <w:tblLayout w:type="fixed"/>
        <w:tblLook w:firstColumn="1" w:firstRow="1" w:lastColumn="0" w:lastRow="0" w:noHBand="0" w:noVBand="1" w:val="04A0"/>
      </w:tblPr>
      <w:tblGrid>
        <w:gridCol w:w="3120"/>
        <w:gridCol w:w="3120"/>
        <w:gridCol w:w="3120"/>
      </w:tblGrid>
      <w:tr>
        <w:tc>
          <w:tcPr>
            <w:tcW w:type="dxa" w:w="3600"/>
            <w:shd w:val="clear" w:color="auto" w:fill="0284C7"/>
            <w:tcMar>
              <w:top w:w="100" w:type="dxa"/>
              <w:bottom w:w="100" w:type="dxa"/>
              <w:left w:w="100" w:type="dxa"/>
              <w:right w:w="100" w:type="dxa"/>
            </w:tcMar>
          </w:tcPr>
          <w:p>
            <w:r>
              <w:rPr>
                <w:b/>
                <w:color w:val="FFFFFF"/>
                <w:sz w:val="20"/>
              </w:rPr>
              <w:t>Phrase Setting a Condition</w:t>
            </w:r>
          </w:p>
        </w:tc>
        <w:tc>
          <w:tcPr>
            <w:tcW w:type="dxa" w:w="3600"/>
            <w:shd w:val="clear" w:color="auto" w:fill="0284C7"/>
            <w:tcMar>
              <w:top w:w="100" w:type="dxa"/>
              <w:bottom w:w="100" w:type="dxa"/>
              <w:left w:w="100" w:type="dxa"/>
              <w:right w:w="100" w:type="dxa"/>
            </w:tcMar>
          </w:tcPr>
          <w:p>
            <w:r>
              <w:rPr>
                <w:b/>
                <w:color w:val="FFFFFF"/>
                <w:sz w:val="20"/>
              </w:rPr>
              <w:t>Who Is Left Out</w:t>
            </w:r>
          </w:p>
        </w:tc>
        <w:tc>
          <w:tcPr>
            <w:tcW w:type="dxa" w:w="2160"/>
            <w:shd w:val="clear" w:color="auto" w:fill="0284C7"/>
            <w:tcMar>
              <w:top w:w="100" w:type="dxa"/>
              <w:bottom w:w="100" w:type="dxa"/>
              <w:left w:w="100" w:type="dxa"/>
              <w:right w:w="100" w:type="dxa"/>
            </w:tcMar>
          </w:tcPr>
          <w:p>
            <w:r>
              <w:rPr>
                <w:b/>
                <w:color w:val="FFFFFF"/>
                <w:sz w:val="20"/>
              </w:rPr>
              <w:t>Estimated Share</w:t>
            </w:r>
          </w:p>
        </w:tc>
      </w:tr>
      <w:tr>
        <w:tc>
          <w:tcPr>
            <w:tcW w:type="dxa" w:w="3600"/>
            <w:shd w:val="clear" w:color="auto" w:fill="F8F9FA"/>
            <w:tcMar>
              <w:top w:w="100" w:type="dxa"/>
              <w:bottom w:w="100" w:type="dxa"/>
              <w:left w:w="100" w:type="dxa"/>
              <w:right w:w="100" w:type="dxa"/>
            </w:tcMar>
          </w:tcPr>
          <w:p>
            <w:r>
              <w:rPr>
                <w:sz w:val="19"/>
              </w:rPr>
              <w:t>“establishments with 50 or more workers”</w:t>
            </w:r>
          </w:p>
        </w:tc>
        <w:tc>
          <w:tcPr>
            <w:tcW w:type="dxa" w:w="3600"/>
            <w:shd w:val="clear" w:color="auto" w:fill="F8F9FA"/>
            <w:tcMar>
              <w:top w:w="100" w:type="dxa"/>
              <w:bottom w:w="100" w:type="dxa"/>
              <w:left w:w="100" w:type="dxa"/>
              <w:right w:w="100" w:type="dxa"/>
            </w:tcMar>
          </w:tcPr>
          <w:p>
            <w:r>
              <w:rPr>
                <w:sz w:val="19"/>
              </w:rPr>
              <w:t>Small workshops and informal units with under 50 workers</w:t>
            </w:r>
          </w:p>
        </w:tc>
        <w:tc>
          <w:tcPr>
            <w:tcW w:type="dxa" w:w="2160"/>
            <w:shd w:val="clear" w:color="auto" w:fill="F8F9FA"/>
            <w:tcMar>
              <w:top w:w="100" w:type="dxa"/>
              <w:bottom w:w="100" w:type="dxa"/>
              <w:left w:w="100" w:type="dxa"/>
              <w:right w:w="100" w:type="dxa"/>
            </w:tcMar>
          </w:tcPr>
          <w:p>
            <w:r>
              <w:rPr>
                <w:sz w:val="19"/>
              </w:rPr>
              <w:t>Approx. 75% of sector</w:t>
            </w:r>
          </w:p>
        </w:tc>
      </w:tr>
      <w:tr>
        <w:tc>
          <w:tcPr>
            <w:tcW w:type="dxa" w:w="3600"/>
            <w:shd w:val="clear" w:color="auto" w:fill="FFFFFF"/>
            <w:tcMar>
              <w:top w:w="100" w:type="dxa"/>
              <w:bottom w:w="100" w:type="dxa"/>
              <w:left w:w="100" w:type="dxa"/>
              <w:right w:w="100" w:type="dxa"/>
            </w:tcMar>
          </w:tcPr>
          <w:p>
            <w:r>
              <w:rPr>
                <w:sz w:val="19"/>
              </w:rPr>
              <w:t>“workers may report unsafe conditions in writing”</w:t>
            </w:r>
          </w:p>
        </w:tc>
        <w:tc>
          <w:tcPr>
            <w:tcW w:type="dxa" w:w="3600"/>
            <w:shd w:val="clear" w:color="auto" w:fill="FFFFFF"/>
            <w:tcMar>
              <w:top w:w="100" w:type="dxa"/>
              <w:bottom w:w="100" w:type="dxa"/>
              <w:left w:w="100" w:type="dxa"/>
              <w:right w:w="100" w:type="dxa"/>
            </w:tcMar>
          </w:tcPr>
          <w:p>
            <w:r>
              <w:rPr>
                <w:sz w:val="19"/>
              </w:rPr>
              <w:t>Illiterate workers or those fearing job loss if reporting</w:t>
            </w:r>
          </w:p>
        </w:tc>
        <w:tc>
          <w:tcPr>
            <w:tcW w:type="dxa" w:w="2160"/>
            <w:shd w:val="clear" w:color="auto" w:fill="FFFFFF"/>
            <w:tcMar>
              <w:top w:w="100" w:type="dxa"/>
              <w:bottom w:w="100" w:type="dxa"/>
              <w:left w:w="100" w:type="dxa"/>
              <w:right w:w="100" w:type="dxa"/>
            </w:tcMar>
          </w:tcPr>
          <w:p>
            <w:r>
              <w:rPr>
                <w:sz w:val="19"/>
              </w:rPr>
              <w:t>Majority of informal workers</w:t>
            </w:r>
          </w:p>
        </w:tc>
      </w:tr>
      <w:tr>
        <w:tc>
          <w:tcPr>
            <w:tcW w:type="dxa" w:w="3600"/>
            <w:shd w:val="clear" w:color="auto" w:fill="F8F9FA"/>
            <w:tcMar>
              <w:top w:w="100" w:type="dxa"/>
              <w:bottom w:w="100" w:type="dxa"/>
              <w:left w:w="100" w:type="dxa"/>
              <w:right w:w="100" w:type="dxa"/>
            </w:tcMar>
          </w:tcPr>
          <w:p>
            <w:r>
              <w:rPr>
                <w:sz w:val="19"/>
              </w:rPr>
            </w:r>
          </w:p>
        </w:tc>
        <w:tc>
          <w:tcPr>
            <w:tcW w:type="dxa" w:w="3600"/>
            <w:shd w:val="clear" w:color="auto" w:fill="F8F9FA"/>
            <w:tcMar>
              <w:top w:w="100" w:type="dxa"/>
              <w:bottom w:w="100" w:type="dxa"/>
              <w:left w:w="100" w:type="dxa"/>
              <w:right w:w="100" w:type="dxa"/>
            </w:tcMar>
          </w:tcPr>
          <w:p>
            <w:r>
              <w:rPr>
                <w:sz w:val="19"/>
              </w:rPr>
            </w:r>
          </w:p>
        </w:tc>
        <w:tc>
          <w:tcPr>
            <w:tcW w:type="dxa" w:w="2160"/>
            <w:shd w:val="clear" w:color="auto" w:fill="F8F9FA"/>
            <w:tcMar>
              <w:top w:w="100" w:type="dxa"/>
              <w:bottom w:w="100" w:type="dxa"/>
              <w:left w:w="100" w:type="dxa"/>
              <w:right w:w="100" w:type="dxa"/>
            </w:tcMar>
          </w:tcPr>
          <w:p>
            <w:r>
              <w:rPr>
                <w:sz w:val="19"/>
              </w:rPr>
            </w:r>
          </w:p>
        </w:tc>
      </w:tr>
    </w:tbl>
    <w:p>
      <w:pPr>
        <w:spacing w:after="200"/>
      </w:pPr>
    </w:p>
    <w:p>
      <w:r>
        <w:rPr>
          <w:b/>
        </w:rPr>
        <w:t>Step 2 — The Add-On Test</w:t>
      </w:r>
    </w:p>
    <w:p>
      <w:pPr>
        <w:spacing w:after="200"/>
      </w:pPr>
      <w:r>
        <w:rPr>
          <w:i/>
        </w:rPr>
        <w:t>Test Question: “If you delete the sentence about women workers, does any other part of the paragraph change?”</w:t>
        <w:br/>
      </w:r>
      <w:r>
        <w:t>Answer: If NO, the sentence is an add-on. Write what specific action must be added so that the answer becomes YES.</w:t>
      </w:r>
    </w:p>
    <w:p>
      <w:r>
        <w:rPr>
          <w:b/>
        </w:rPr>
        <w:t>Step 3 — Your Proposed Amendment</w:t>
      </w:r>
    </w:p>
    <w:p>
      <w:pPr>
        <w:spacing w:after="120"/>
      </w:pPr>
      <w:r>
        <w:t>Write one clear sentence that can be added directly to the paragraph to expand its coverage to seasonal, subcontracted, or informal workers.</w:t>
      </w:r>
    </w:p>
    <w:tbl>
      <w:tblPr>
        <w:tblW w:type="auto" w:w="0"/>
        <w:jc w:val="center"/>
        <w:tblLayout w:type="fixed"/>
        <w:tblLook w:firstColumn="1" w:firstRow="1" w:lastColumn="0" w:lastRow="0" w:noHBand="0" w:noVBand="1" w:val="04A0"/>
      </w:tblPr>
      <w:tblGrid>
        <w:gridCol w:w="9360"/>
      </w:tblGrid>
      <w:tr>
        <w:tc>
          <w:tcPr>
            <w:tcW w:type="dxa" w:w="9360"/>
            <w:shd w:val="clear" w:color="auto" w:fill="FFFFFF"/>
            <w:tcMar>
              <w:top w:w="160" w:type="dxa"/>
              <w:bottom w:w="160" w:type="dxa"/>
              <w:left w:w="160" w:type="dxa"/>
              <w:right w:w="160" w:type="dxa"/>
            </w:tcMar>
          </w:tcPr>
          <w:p>
            <w:r>
              <w:rPr>
                <w:i/>
                <w:color w:val="94A3B8"/>
              </w:rPr>
              <w:t>[ Write your table's 1-sentence amendment here ]</w:t>
            </w:r>
          </w:p>
        </w:tc>
      </w:tr>
    </w:tbl>
    <w:p>
      <w:pPr>
        <w:spacing w:after="320"/>
      </w:pPr>
    </w:p>
    <w:p>
      <w:pPr>
        <w:pStyle w:val="Heading2"/>
      </w:pPr>
      <w:r>
        <w:t>3. Round 2 · Gate Two — Settle the Facts</w:t>
      </w:r>
    </w:p>
    <w:p>
      <w:pPr>
        <w:spacing w:after="160"/>
      </w:pPr>
      <w:r>
        <w:rPr>
          <w:b/>
        </w:rPr>
        <w:t xml:space="preserve">Task Instructions: </w:t>
      </w:r>
      <w:r>
        <w:t>Specify the background evidence required before the meeting, identify disputed figures, and draft a neutral sentence recording the disagreement.</w:t>
      </w:r>
    </w:p>
    <w:p>
      <w:r>
        <w:rPr>
          <w:b/>
        </w:rPr>
        <w:t>Step 1 — Four Key Background Sources Required</w:t>
      </w:r>
    </w:p>
    <w:tbl>
      <w:tblPr>
        <w:tblW w:type="auto" w:w="0"/>
        <w:jc w:val="center"/>
        <w:tblLayout w:type="fixed"/>
        <w:tblLook w:firstColumn="1" w:firstRow="1" w:lastColumn="0" w:lastRow="0" w:noHBand="0" w:noVBand="1" w:val="04A0"/>
      </w:tblPr>
      <w:tblGrid>
        <w:gridCol w:w="3120"/>
        <w:gridCol w:w="3120"/>
        <w:gridCol w:w="3120"/>
      </w:tblGrid>
      <w:tr>
        <w:tc>
          <w:tcPr>
            <w:tcW w:type="dxa" w:w="3600"/>
            <w:shd w:val="clear" w:color="auto" w:fill="0284C7"/>
            <w:tcMar>
              <w:top w:w="100" w:type="dxa"/>
              <w:bottom w:w="100" w:type="dxa"/>
              <w:left w:w="100" w:type="dxa"/>
              <w:right w:w="100" w:type="dxa"/>
            </w:tcMar>
          </w:tcPr>
          <w:p>
            <w:r>
              <w:rPr>
                <w:b/>
                <w:color w:val="FFFFFF"/>
                <w:sz w:val="20"/>
              </w:rPr>
              <w:t>Data Source / Document</w:t>
            </w:r>
          </w:p>
        </w:tc>
        <w:tc>
          <w:tcPr>
            <w:tcW w:type="dxa" w:w="3168"/>
            <w:shd w:val="clear" w:color="auto" w:fill="0284C7"/>
            <w:tcMar>
              <w:top w:w="100" w:type="dxa"/>
              <w:bottom w:w="100" w:type="dxa"/>
              <w:left w:w="100" w:type="dxa"/>
              <w:right w:w="100" w:type="dxa"/>
            </w:tcMar>
          </w:tcPr>
          <w:p>
            <w:r>
              <w:rPr>
                <w:b/>
                <w:color w:val="FFFFFF"/>
                <w:sz w:val="20"/>
              </w:rPr>
              <w:t>Producing Institution</w:t>
            </w:r>
          </w:p>
        </w:tc>
        <w:tc>
          <w:tcPr>
            <w:tcW w:type="dxa" w:w="2592"/>
            <w:shd w:val="clear" w:color="auto" w:fill="0284C7"/>
            <w:tcMar>
              <w:top w:w="100" w:type="dxa"/>
              <w:bottom w:w="100" w:type="dxa"/>
              <w:left w:w="100" w:type="dxa"/>
              <w:right w:w="100" w:type="dxa"/>
            </w:tcMar>
          </w:tcPr>
          <w:p>
            <w:r>
              <w:rPr>
                <w:b/>
                <w:color w:val="FFFFFF"/>
                <w:sz w:val="20"/>
              </w:rPr>
              <w:t>Collection Date</w:t>
            </w:r>
          </w:p>
        </w:tc>
      </w:tr>
      <w:tr>
        <w:tc>
          <w:tcPr>
            <w:tcW w:type="dxa" w:w="3600"/>
            <w:shd w:val="clear" w:color="auto" w:fill="F8F9FA"/>
            <w:tcMar>
              <w:top w:w="100" w:type="dxa"/>
              <w:bottom w:w="100" w:type="dxa"/>
              <w:left w:w="100" w:type="dxa"/>
              <w:right w:w="100" w:type="dxa"/>
            </w:tcMar>
          </w:tcPr>
          <w:p>
            <w:r>
              <w:rPr>
                <w:sz w:val="19"/>
              </w:rPr>
              <w:t>1. Official Inspection Register</w:t>
            </w:r>
          </w:p>
        </w:tc>
        <w:tc>
          <w:tcPr>
            <w:tcW w:type="dxa" w:w="3168"/>
            <w:shd w:val="clear" w:color="auto" w:fill="F8F9FA"/>
            <w:tcMar>
              <w:top w:w="100" w:type="dxa"/>
              <w:bottom w:w="100" w:type="dxa"/>
              <w:left w:w="100" w:type="dxa"/>
              <w:right w:w="100" w:type="dxa"/>
            </w:tcMar>
          </w:tcPr>
          <w:p>
            <w:r>
              <w:rPr>
                <w:sz w:val="19"/>
              </w:rPr>
              <w:t>Department of Inspection for Factories</w:t>
            </w:r>
          </w:p>
        </w:tc>
        <w:tc>
          <w:tcPr>
            <w:tcW w:type="dxa" w:w="2592"/>
            <w:shd w:val="clear" w:color="auto" w:fill="F8F9FA"/>
            <w:tcMar>
              <w:top w:w="100" w:type="dxa"/>
              <w:bottom w:w="100" w:type="dxa"/>
              <w:left w:w="100" w:type="dxa"/>
              <w:right w:w="100" w:type="dxa"/>
            </w:tcMar>
          </w:tcPr>
          <w:p>
            <w:r>
              <w:rPr>
                <w:sz w:val="19"/>
              </w:rPr>
              <w:t>Collected June 2026</w:t>
            </w:r>
          </w:p>
        </w:tc>
      </w:tr>
      <w:tr>
        <w:tc>
          <w:tcPr>
            <w:tcW w:type="dxa" w:w="3600"/>
            <w:shd w:val="clear" w:color="auto" w:fill="FFFFFF"/>
            <w:tcMar>
              <w:top w:w="100" w:type="dxa"/>
              <w:bottom w:w="100" w:type="dxa"/>
              <w:left w:w="100" w:type="dxa"/>
              <w:right w:w="100" w:type="dxa"/>
            </w:tcMar>
          </w:tcPr>
          <w:p>
            <w:r>
              <w:rPr>
                <w:sz w:val="19"/>
              </w:rPr>
              <w:t>2. Trade Union Incident Log</w:t>
            </w:r>
          </w:p>
        </w:tc>
        <w:tc>
          <w:tcPr>
            <w:tcW w:type="dxa" w:w="3168"/>
            <w:shd w:val="clear" w:color="auto" w:fill="FFFFFF"/>
            <w:tcMar>
              <w:top w:w="100" w:type="dxa"/>
              <w:bottom w:w="100" w:type="dxa"/>
              <w:left w:w="100" w:type="dxa"/>
              <w:right w:w="100" w:type="dxa"/>
            </w:tcMar>
          </w:tcPr>
          <w:p>
            <w:r>
              <w:rPr>
                <w:sz w:val="19"/>
              </w:rPr>
              <w:t>Workers' Federation Safety Desk</w:t>
            </w:r>
          </w:p>
        </w:tc>
        <w:tc>
          <w:tcPr>
            <w:tcW w:type="dxa" w:w="2592"/>
            <w:shd w:val="clear" w:color="auto" w:fill="FFFFFF"/>
            <w:tcMar>
              <w:top w:w="100" w:type="dxa"/>
              <w:bottom w:w="100" w:type="dxa"/>
              <w:left w:w="100" w:type="dxa"/>
              <w:right w:w="100" w:type="dxa"/>
            </w:tcMar>
          </w:tcPr>
          <w:p>
            <w:r>
              <w:rPr>
                <w:sz w:val="19"/>
              </w:rPr>
              <w:t>Collected July 2026</w:t>
            </w:r>
          </w:p>
        </w:tc>
      </w:tr>
      <w:tr>
        <w:tc>
          <w:tcPr>
            <w:tcW w:type="dxa" w:w="3600"/>
            <w:shd w:val="clear" w:color="auto" w:fill="F8F9FA"/>
            <w:tcMar>
              <w:top w:w="100" w:type="dxa"/>
              <w:bottom w:w="100" w:type="dxa"/>
              <w:left w:w="100" w:type="dxa"/>
              <w:right w:w="100" w:type="dxa"/>
            </w:tcMar>
          </w:tcPr>
          <w:p>
            <w:r>
              <w:rPr>
                <w:sz w:val="19"/>
              </w:rPr>
              <w:t>3. Sector Health Study</w:t>
            </w:r>
          </w:p>
        </w:tc>
        <w:tc>
          <w:tcPr>
            <w:tcW w:type="dxa" w:w="3168"/>
            <w:shd w:val="clear" w:color="auto" w:fill="F8F9FA"/>
            <w:tcMar>
              <w:top w:w="100" w:type="dxa"/>
              <w:bottom w:w="100" w:type="dxa"/>
              <w:left w:w="100" w:type="dxa"/>
              <w:right w:w="100" w:type="dxa"/>
            </w:tcMar>
          </w:tcPr>
          <w:p>
            <w:r>
              <w:rPr>
                <w:sz w:val="19"/>
              </w:rPr>
              <w:t>National Institute of Social Research</w:t>
            </w:r>
          </w:p>
        </w:tc>
        <w:tc>
          <w:tcPr>
            <w:tcW w:type="dxa" w:w="2592"/>
            <w:shd w:val="clear" w:color="auto" w:fill="F8F9FA"/>
            <w:tcMar>
              <w:top w:w="100" w:type="dxa"/>
              <w:bottom w:w="100" w:type="dxa"/>
              <w:left w:w="100" w:type="dxa"/>
              <w:right w:w="100" w:type="dxa"/>
            </w:tcMar>
          </w:tcPr>
          <w:p>
            <w:r>
              <w:rPr>
                <w:sz w:val="19"/>
              </w:rPr>
              <w:t>Collected March 2025</w:t>
            </w:r>
          </w:p>
        </w:tc>
      </w:tr>
      <w:tr>
        <w:tc>
          <w:tcPr>
            <w:tcW w:type="dxa" w:w="3600"/>
            <w:shd w:val="clear" w:color="auto" w:fill="FFFFFF"/>
            <w:tcMar>
              <w:top w:w="100" w:type="dxa"/>
              <w:bottom w:w="100" w:type="dxa"/>
              <w:left w:w="100" w:type="dxa"/>
              <w:right w:w="100" w:type="dxa"/>
            </w:tcMar>
          </w:tcPr>
          <w:p>
            <w:r>
              <w:rPr>
                <w:sz w:val="19"/>
              </w:rPr>
              <w:t>4. Employer Association Survey</w:t>
            </w:r>
          </w:p>
        </w:tc>
        <w:tc>
          <w:tcPr>
            <w:tcW w:type="dxa" w:w="3168"/>
            <w:shd w:val="clear" w:color="auto" w:fill="FFFFFF"/>
            <w:tcMar>
              <w:top w:w="100" w:type="dxa"/>
              <w:bottom w:w="100" w:type="dxa"/>
              <w:left w:w="100" w:type="dxa"/>
              <w:right w:w="100" w:type="dxa"/>
            </w:tcMar>
          </w:tcPr>
          <w:p>
            <w:r>
              <w:rPr>
                <w:sz w:val="19"/>
              </w:rPr>
              <w:t>Industry Employers' Association</w:t>
            </w:r>
          </w:p>
        </w:tc>
        <w:tc>
          <w:tcPr>
            <w:tcW w:type="dxa" w:w="2592"/>
            <w:shd w:val="clear" w:color="auto" w:fill="FFFFFF"/>
            <w:tcMar>
              <w:top w:w="100" w:type="dxa"/>
              <w:bottom w:w="100" w:type="dxa"/>
              <w:left w:w="100" w:type="dxa"/>
              <w:right w:w="100" w:type="dxa"/>
            </w:tcMar>
          </w:tcPr>
          <w:p>
            <w:r>
              <w:rPr>
                <w:sz w:val="19"/>
              </w:rPr>
              <w:t>Collected May 2026</w:t>
            </w:r>
          </w:p>
        </w:tc>
      </w:tr>
    </w:tbl>
    <w:p>
      <w:pPr>
        <w:spacing w:after="200"/>
      </w:pPr>
    </w:p>
    <w:p>
      <w:r>
        <w:rPr>
          <w:b/>
        </w:rPr>
        <w:t>Step 2 — Draft a Neutral Statement of Disagreement</w:t>
      </w:r>
    </w:p>
    <w:p>
      <w:pPr>
        <w:spacing w:after="160"/>
      </w:pPr>
      <w:r>
        <w:t>Worked Example Shape: “Recorded workplace incidents from establishment returns and figures submitted by worker representatives differ by [X] for the same period. The difference arises from the treatment of unregistered units. Both figures are presented in Annex A.”</w:t>
      </w:r>
    </w:p>
    <w:tbl>
      <w:tblPr>
        <w:tblW w:type="auto" w:w="0"/>
        <w:jc w:val="center"/>
        <w:tblLayout w:type="fixed"/>
        <w:tblLook w:firstColumn="1" w:firstRow="1" w:lastColumn="0" w:lastRow="0" w:noHBand="0" w:noVBand="1" w:val="04A0"/>
      </w:tblPr>
      <w:tblGrid>
        <w:gridCol w:w="9360"/>
      </w:tblGrid>
      <w:tr>
        <w:tc>
          <w:tcPr>
            <w:tcW w:type="dxa" w:w="9360"/>
            <w:shd w:val="clear" w:color="auto" w:fill="FFFFFF"/>
            <w:tcMar>
              <w:top w:w="160" w:type="dxa"/>
              <w:bottom w:w="160" w:type="dxa"/>
              <w:left w:w="160" w:type="dxa"/>
              <w:right w:w="160" w:type="dxa"/>
            </w:tcMar>
          </w:tcPr>
          <w:p>
            <w:r>
              <w:rPr>
                <w:i/>
                <w:color w:val="94A3B8"/>
              </w:rPr>
              <w:t>[ Write your neutral statement of disagreement here ]</w:t>
            </w:r>
          </w:p>
        </w:tc>
      </w:tr>
    </w:tbl>
    <w:p>
      <w:pPr>
        <w:spacing w:after="320"/>
      </w:pPr>
    </w:p>
    <w:p>
      <w:pPr>
        <w:pStyle w:val="Heading2"/>
      </w:pPr>
      <w:r>
        <w:t>4. Round 3 · Gate Three — Make It Survive</w:t>
      </w:r>
    </w:p>
    <w:p>
      <w:pPr>
        <w:spacing w:after="160"/>
      </w:pPr>
      <w:r>
        <w:rPr>
          <w:b/>
        </w:rPr>
        <w:t xml:space="preserve">Task Instructions: </w:t>
      </w:r>
      <w:r>
        <w:t>Rewrite the entire policy paragraph so that every action has a specific post holder, a fixed target date, and a verifiable test.</w:t>
      </w:r>
    </w:p>
    <w:tbl>
      <w:tblPr>
        <w:tblW w:type="auto" w:w="0"/>
        <w:jc w:val="center"/>
        <w:tblLayout w:type="fixed"/>
        <w:tblLook w:firstColumn="1" w:firstRow="1" w:lastColumn="0" w:lastRow="0" w:noHBand="0" w:noVBand="1" w:val="04A0"/>
      </w:tblPr>
      <w:tblGrid>
        <w:gridCol w:w="3120"/>
        <w:gridCol w:w="3120"/>
        <w:gridCol w:w="3120"/>
      </w:tblGrid>
      <w:tr>
        <w:tc>
          <w:tcPr>
            <w:tcW w:type="dxa" w:w="3024"/>
            <w:shd w:val="clear" w:color="auto" w:fill="1E293B"/>
            <w:tcMar>
              <w:top w:w="100" w:type="dxa"/>
              <w:bottom w:w="100" w:type="dxa"/>
              <w:left w:w="100" w:type="dxa"/>
              <w:right w:w="100" w:type="dxa"/>
            </w:tcMar>
          </w:tcPr>
          <w:p>
            <w:r>
              <w:rPr>
                <w:b/>
                <w:color w:val="FFFFFF"/>
                <w:sz w:val="20"/>
              </w:rPr>
              <w:t>1. Post (Not Institution)</w:t>
            </w:r>
          </w:p>
        </w:tc>
        <w:tc>
          <w:tcPr>
            <w:tcW w:type="dxa" w:w="3168"/>
            <w:shd w:val="clear" w:color="auto" w:fill="1E293B"/>
            <w:tcMar>
              <w:top w:w="100" w:type="dxa"/>
              <w:bottom w:w="100" w:type="dxa"/>
              <w:left w:w="100" w:type="dxa"/>
              <w:right w:w="100" w:type="dxa"/>
            </w:tcMar>
          </w:tcPr>
          <w:p>
            <w:r>
              <w:rPr>
                <w:b/>
                <w:color w:val="FFFFFF"/>
                <w:sz w:val="20"/>
              </w:rPr>
              <w:t>2. Date (Not Duration)</w:t>
            </w:r>
          </w:p>
        </w:tc>
        <w:tc>
          <w:tcPr>
            <w:tcW w:type="dxa" w:w="3168"/>
            <w:shd w:val="clear" w:color="auto" w:fill="1E293B"/>
            <w:tcMar>
              <w:top w:w="100" w:type="dxa"/>
              <w:bottom w:w="100" w:type="dxa"/>
              <w:left w:w="100" w:type="dxa"/>
              <w:right w:w="100" w:type="dxa"/>
            </w:tcMar>
          </w:tcPr>
          <w:p>
            <w:r>
              <w:rPr>
                <w:b/>
                <w:color w:val="FFFFFF"/>
                <w:sz w:val="20"/>
              </w:rPr>
              <w:t>3. Test (Not Hope)</w:t>
            </w:r>
          </w:p>
        </w:tc>
      </w:tr>
      <w:tr>
        <w:tc>
          <w:tcPr>
            <w:tcW w:type="dxa" w:w="3024"/>
            <w:shd w:val="clear" w:color="auto" w:fill="F8F9FA"/>
            <w:tcMar>
              <w:top w:w="100" w:type="dxa"/>
              <w:bottom w:w="100" w:type="dxa"/>
              <w:left w:w="100" w:type="dxa"/>
              <w:right w:w="100" w:type="dxa"/>
            </w:tcMar>
          </w:tcPr>
          <w:p>
            <w:r>
              <w:rPr>
                <w:sz w:val="19"/>
              </w:rPr>
              <w:t>Valid: Director of Labour Inspections</w:t>
              <w:br/>
              <w:t>Invalid: The Ministry</w:t>
            </w:r>
          </w:p>
        </w:tc>
        <w:tc>
          <w:tcPr>
            <w:tcW w:type="dxa" w:w="3168"/>
            <w:shd w:val="clear" w:color="auto" w:fill="F8F9FA"/>
            <w:tcMar>
              <w:top w:w="100" w:type="dxa"/>
              <w:bottom w:w="100" w:type="dxa"/>
              <w:left w:w="100" w:type="dxa"/>
              <w:right w:w="100" w:type="dxa"/>
            </w:tcMar>
          </w:tcPr>
          <w:p>
            <w:r>
              <w:rPr>
                <w:sz w:val="19"/>
              </w:rPr>
              <w:t>Valid: By 30 November 2026</w:t>
              <w:br/>
              <w:t>Invalid: Within six months</w:t>
            </w:r>
          </w:p>
        </w:tc>
        <w:tc>
          <w:tcPr>
            <w:tcW w:type="dxa" w:w="3168"/>
            <w:shd w:val="clear" w:color="auto" w:fill="F8F9FA"/>
            <w:tcMar>
              <w:top w:w="100" w:type="dxa"/>
              <w:bottom w:w="100" w:type="dxa"/>
              <w:left w:w="100" w:type="dxa"/>
              <w:right w:w="100" w:type="dxa"/>
            </w:tcMar>
          </w:tcPr>
          <w:p>
            <w:r>
              <w:rPr>
                <w:sz w:val="19"/>
              </w:rPr>
              <w:t>Valid: Published Inspection Register</w:t>
              <w:br/>
              <w:t>Invalid: Improved safety</w:t>
            </w:r>
          </w:p>
        </w:tc>
      </w:tr>
    </w:tbl>
    <w:p>
      <w:pPr>
        <w:spacing w:after="200"/>
      </w:pPr>
    </w:p>
    <w:p>
      <w:r>
        <w:rPr>
          <w:b/>
        </w:rPr>
        <w:t>Step 1 — Define Actions, Owners, Dates, and Tests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168"/>
            <w:shd w:val="clear" w:color="auto" w:fill="0284C7"/>
            <w:tcMar>
              <w:top w:w="100" w:type="dxa"/>
              <w:bottom w:w="100" w:type="dxa"/>
              <w:left w:w="100" w:type="dxa"/>
              <w:right w:w="100" w:type="dxa"/>
            </w:tcMar>
          </w:tcPr>
          <w:p>
            <w:r>
              <w:rPr>
                <w:b/>
                <w:color w:val="FFFFFF"/>
                <w:sz w:val="20"/>
              </w:rPr>
              <w:t>Action Step</w:t>
            </w:r>
          </w:p>
        </w:tc>
        <w:tc>
          <w:tcPr>
            <w:tcW w:type="dxa" w:w="2160"/>
            <w:shd w:val="clear" w:color="auto" w:fill="0284C7"/>
            <w:tcMar>
              <w:top w:w="100" w:type="dxa"/>
              <w:bottom w:w="100" w:type="dxa"/>
              <w:left w:w="100" w:type="dxa"/>
              <w:right w:w="100" w:type="dxa"/>
            </w:tcMar>
          </w:tcPr>
          <w:p>
            <w:r>
              <w:rPr>
                <w:b/>
                <w:color w:val="FFFFFF"/>
                <w:sz w:val="20"/>
              </w:rPr>
              <w:t>Owner (Post)</w:t>
            </w:r>
          </w:p>
        </w:tc>
        <w:tc>
          <w:tcPr>
            <w:tcW w:type="dxa" w:w="1872"/>
            <w:shd w:val="clear" w:color="auto" w:fill="0284C7"/>
            <w:tcMar>
              <w:top w:w="100" w:type="dxa"/>
              <w:bottom w:w="100" w:type="dxa"/>
              <w:left w:w="100" w:type="dxa"/>
              <w:right w:w="100" w:type="dxa"/>
            </w:tcMar>
          </w:tcPr>
          <w:p>
            <w:r>
              <w:rPr>
                <w:b/>
                <w:color w:val="FFFFFF"/>
                <w:sz w:val="20"/>
              </w:rPr>
              <w:t>Target Date</w:t>
            </w:r>
          </w:p>
        </w:tc>
        <w:tc>
          <w:tcPr>
            <w:tcW w:type="dxa" w:w="2160"/>
            <w:shd w:val="clear" w:color="auto" w:fill="0284C7"/>
            <w:tcMar>
              <w:top w:w="100" w:type="dxa"/>
              <w:bottom w:w="100" w:type="dxa"/>
              <w:left w:w="100" w:type="dxa"/>
              <w:right w:w="100" w:type="dxa"/>
            </w:tcMar>
          </w:tcPr>
          <w:p>
            <w:r>
              <w:rPr>
                <w:b/>
                <w:color w:val="FFFFFF"/>
                <w:sz w:val="20"/>
              </w:rPr>
              <w:t>Verifiable Test</w:t>
            </w:r>
          </w:p>
        </w:tc>
      </w:tr>
      <w:tr>
        <w:tc>
          <w:tcPr>
            <w:tcW w:type="dxa" w:w="3168"/>
            <w:shd w:val="clear" w:color="auto" w:fill="F8F9FA"/>
            <w:tcMar>
              <w:top w:w="100" w:type="dxa"/>
              <w:bottom w:w="100" w:type="dxa"/>
              <w:left w:w="100" w:type="dxa"/>
              <w:right w:w="100" w:type="dxa"/>
            </w:tcMar>
          </w:tcPr>
          <w:p>
            <w:r>
              <w:rPr>
                <w:sz w:val="19"/>
              </w:rPr>
              <w:t>1. Conduct hazard reviews in 50+ worker units, including seasonal workers</w:t>
            </w:r>
          </w:p>
        </w:tc>
        <w:tc>
          <w:tcPr>
            <w:tcW w:type="dxa" w:w="2160"/>
            <w:shd w:val="clear" w:color="auto" w:fill="F8F9FA"/>
            <w:tcMar>
              <w:top w:w="100" w:type="dxa"/>
              <w:bottom w:w="100" w:type="dxa"/>
              <w:left w:w="100" w:type="dxa"/>
              <w:right w:w="100" w:type="dxa"/>
            </w:tcMar>
          </w:tcPr>
          <w:p>
            <w:r>
              <w:rPr>
                <w:sz w:val="19"/>
              </w:rPr>
              <w:t>Safety Committee Chairperson</w:t>
            </w:r>
          </w:p>
        </w:tc>
        <w:tc>
          <w:tcPr>
            <w:tcW w:type="dxa" w:w="1872"/>
            <w:shd w:val="clear" w:color="auto" w:fill="F8F9FA"/>
            <w:tcMar>
              <w:top w:w="100" w:type="dxa"/>
              <w:bottom w:w="100" w:type="dxa"/>
              <w:left w:w="100" w:type="dxa"/>
              <w:right w:w="100" w:type="dxa"/>
            </w:tcMar>
          </w:tcPr>
          <w:p>
            <w:r>
              <w:rPr>
                <w:sz w:val="19"/>
              </w:rPr>
              <w:t>30 Nov 2026</w:t>
            </w:r>
          </w:p>
        </w:tc>
        <w:tc>
          <w:tcPr>
            <w:tcW w:type="dxa" w:w="2160"/>
            <w:shd w:val="clear" w:color="auto" w:fill="F8F9FA"/>
            <w:tcMar>
              <w:top w:w="100" w:type="dxa"/>
              <w:bottom w:w="100" w:type="dxa"/>
              <w:left w:w="100" w:type="dxa"/>
              <w:right w:w="100" w:type="dxa"/>
            </w:tcMar>
          </w:tcPr>
          <w:p>
            <w:r>
              <w:rPr>
                <w:sz w:val="19"/>
              </w:rPr>
              <w:t>Submitted Safety Audit Report</w:t>
            </w:r>
          </w:p>
        </w:tc>
      </w:tr>
      <w:tr>
        <w:tc>
          <w:tcPr>
            <w:tcW w:type="dxa" w:w="3168"/>
            <w:shd w:val="clear" w:color="auto" w:fill="FFFFFF"/>
            <w:tcMar>
              <w:top w:w="100" w:type="dxa"/>
              <w:bottom w:w="100" w:type="dxa"/>
              <w:left w:w="100" w:type="dxa"/>
              <w:right w:w="100" w:type="dxa"/>
            </w:tcMar>
          </w:tcPr>
          <w:p>
            <w:r>
              <w:rPr>
                <w:sz w:val="19"/>
              </w:rPr>
              <w:t>2. Post emergency maps and safety procedures at all worksites</w:t>
            </w:r>
          </w:p>
        </w:tc>
        <w:tc>
          <w:tcPr>
            <w:tcW w:type="dxa" w:w="2160"/>
            <w:shd w:val="clear" w:color="auto" w:fill="FFFFFF"/>
            <w:tcMar>
              <w:top w:w="100" w:type="dxa"/>
              <w:bottom w:w="100" w:type="dxa"/>
              <w:left w:w="100" w:type="dxa"/>
              <w:right w:w="100" w:type="dxa"/>
            </w:tcMar>
          </w:tcPr>
          <w:p>
            <w:r>
              <w:rPr>
                <w:sz w:val="19"/>
              </w:rPr>
              <w:t>Factory Safety Officer</w:t>
            </w:r>
          </w:p>
        </w:tc>
        <w:tc>
          <w:tcPr>
            <w:tcW w:type="dxa" w:w="1872"/>
            <w:shd w:val="clear" w:color="auto" w:fill="FFFFFF"/>
            <w:tcMar>
              <w:top w:w="100" w:type="dxa"/>
              <w:bottom w:w="100" w:type="dxa"/>
              <w:left w:w="100" w:type="dxa"/>
              <w:right w:w="100" w:type="dxa"/>
            </w:tcMar>
          </w:tcPr>
          <w:p>
            <w:r>
              <w:rPr>
                <w:sz w:val="19"/>
              </w:rPr>
              <w:t>15 Dec 2026</w:t>
            </w:r>
          </w:p>
        </w:tc>
        <w:tc>
          <w:tcPr>
            <w:tcW w:type="dxa" w:w="2160"/>
            <w:shd w:val="clear" w:color="auto" w:fill="FFFFFF"/>
            <w:tcMar>
              <w:top w:w="100" w:type="dxa"/>
              <w:bottom w:w="100" w:type="dxa"/>
              <w:left w:w="100" w:type="dxa"/>
              <w:right w:w="100" w:type="dxa"/>
            </w:tcMar>
          </w:tcPr>
          <w:p>
            <w:r>
              <w:rPr>
                <w:sz w:val="19"/>
              </w:rPr>
              <w:t>On-site Verification Checklist</w:t>
            </w:r>
          </w:p>
        </w:tc>
      </w:tr>
      <w:tr>
        <w:tc>
          <w:tcPr>
            <w:tcW w:type="dxa" w:w="3168"/>
            <w:shd w:val="clear" w:color="auto" w:fill="F8F9FA"/>
            <w:tcMar>
              <w:top w:w="100" w:type="dxa"/>
              <w:bottom w:w="100" w:type="dxa"/>
              <w:left w:w="100" w:type="dxa"/>
              <w:right w:w="100" w:type="dxa"/>
            </w:tcMar>
          </w:tcPr>
          <w:p>
            <w:r>
              <w:rPr>
                <w:sz w:val="19"/>
              </w:rPr>
              <w:t>3. Inspect registered 50+ units and publish compliance status</w:t>
            </w:r>
          </w:p>
        </w:tc>
        <w:tc>
          <w:tcPr>
            <w:tcW w:type="dxa" w:w="2160"/>
            <w:shd w:val="clear" w:color="auto" w:fill="F8F9FA"/>
            <w:tcMar>
              <w:top w:w="100" w:type="dxa"/>
              <w:bottom w:w="100" w:type="dxa"/>
              <w:left w:w="100" w:type="dxa"/>
              <w:right w:w="100" w:type="dxa"/>
            </w:tcMar>
          </w:tcPr>
          <w:p>
            <w:r>
              <w:rPr>
                <w:sz w:val="19"/>
              </w:rPr>
              <w:t>Director of Labour Inspections</w:t>
            </w:r>
          </w:p>
        </w:tc>
        <w:tc>
          <w:tcPr>
            <w:tcW w:type="dxa" w:w="1872"/>
            <w:shd w:val="clear" w:color="auto" w:fill="F8F9FA"/>
            <w:tcMar>
              <w:top w:w="100" w:type="dxa"/>
              <w:bottom w:w="100" w:type="dxa"/>
              <w:left w:w="100" w:type="dxa"/>
              <w:right w:w="100" w:type="dxa"/>
            </w:tcMar>
          </w:tcPr>
          <w:p>
            <w:r>
              <w:rPr>
                <w:sz w:val="19"/>
              </w:rPr>
              <w:t>31 Dec 2026</w:t>
            </w:r>
          </w:p>
        </w:tc>
        <w:tc>
          <w:tcPr>
            <w:tcW w:type="dxa" w:w="2160"/>
            <w:shd w:val="clear" w:color="auto" w:fill="F8F9FA"/>
            <w:tcMar>
              <w:top w:w="100" w:type="dxa"/>
              <w:bottom w:w="100" w:type="dxa"/>
              <w:left w:w="100" w:type="dxa"/>
              <w:right w:w="100" w:type="dxa"/>
            </w:tcMar>
          </w:tcPr>
          <w:p>
            <w:r>
              <w:rPr>
                <w:sz w:val="19"/>
              </w:rPr>
              <w:t>Published Inspection Register</w:t>
            </w:r>
          </w:p>
        </w:tc>
      </w:tr>
    </w:tbl>
    <w:p>
      <w:pPr>
        <w:spacing w:after="200"/>
      </w:pPr>
    </w:p>
    <w:p>
      <w:r>
        <w:rPr>
          <w:b/>
        </w:rPr>
        <w:t>Step 2 — Write Your Complete Rewritten Paragraph</w:t>
      </w:r>
    </w:p>
    <w:tbl>
      <w:tblPr>
        <w:tblW w:type="auto" w:w="0"/>
        <w:jc w:val="center"/>
        <w:tblLayout w:type="fixed"/>
        <w:tblLook w:firstColumn="1" w:firstRow="1" w:lastColumn="0" w:lastRow="0" w:noHBand="0" w:noVBand="1" w:val="04A0"/>
      </w:tblPr>
      <w:tblGrid>
        <w:gridCol w:w="9360"/>
      </w:tblGrid>
      <w:tr>
        <w:tc>
          <w:tcPr>
            <w:tcW w:type="dxa" w:w="9360"/>
            <w:shd w:val="clear" w:color="auto" w:fill="FFFFFF"/>
            <w:tcMar>
              <w:top w:w="180" w:type="dxa"/>
              <w:bottom w:w="180" w:type="dxa"/>
              <w:left w:w="180" w:type="dxa"/>
              <w:right w:w="180" w:type="dxa"/>
            </w:tcMar>
          </w:tcPr>
          <w:p>
            <w:r>
              <w:rPr>
                <w:i/>
                <w:color w:val="94A3B8"/>
              </w:rPr>
              <w:t>[ Write your complete rewritten paragraph here. Make sure it passes all three gates. ]</w:t>
            </w:r>
          </w:p>
        </w:tc>
      </w:tr>
    </w:tbl>
    <w:p>
      <w:pPr>
        <w:spacing w:after="320"/>
      </w:pPr>
    </w:p>
    <w:p>
      <w:pPr>
        <w:pStyle w:val="Heading2"/>
      </w:pPr>
      <w:r>
        <w:t>5. Table Scoring and Take-Home Checklist</w:t>
      </w:r>
    </w:p>
    <w:tbl>
      <w:tblPr>
        <w:tblW w:type="auto" w:w="0"/>
        <w:jc w:val="center"/>
        <w:tblLayout w:type="fixed"/>
        <w:tblLook w:firstColumn="1" w:firstRow="1" w:lastColumn="0" w:lastRow="0" w:noHBand="0" w:noVBand="1" w:val="04A0"/>
      </w:tblPr>
      <w:tblGrid>
        <w:gridCol w:w="3120"/>
        <w:gridCol w:w="3120"/>
        <w:gridCol w:w="3120"/>
      </w:tblGrid>
      <w:tr>
        <w:tc>
          <w:tcPr>
            <w:tcW w:type="dxa" w:w="2160"/>
            <w:shd w:val="clear" w:color="auto" w:fill="1E293B"/>
            <w:tcMar>
              <w:top w:w="100" w:type="dxa"/>
              <w:bottom w:w="100" w:type="dxa"/>
              <w:left w:w="100" w:type="dxa"/>
              <w:right w:w="100" w:type="dxa"/>
            </w:tcMar>
          </w:tcPr>
          <w:p>
            <w:r>
              <w:rPr>
                <w:b/>
                <w:color w:val="FFFFFF"/>
                <w:sz w:val="20"/>
              </w:rPr>
              <w:t>Round</w:t>
            </w:r>
          </w:p>
        </w:tc>
        <w:tc>
          <w:tcPr>
            <w:tcW w:type="dxa" w:w="6048"/>
            <w:shd w:val="clear" w:color="auto" w:fill="1E293B"/>
            <w:tcMar>
              <w:top w:w="100" w:type="dxa"/>
              <w:bottom w:w="100" w:type="dxa"/>
              <w:left w:w="100" w:type="dxa"/>
              <w:right w:w="100" w:type="dxa"/>
            </w:tcMar>
          </w:tcPr>
          <w:p>
            <w:r>
              <w:rPr>
                <w:b/>
                <w:color w:val="FFFFFF"/>
                <w:sz w:val="20"/>
              </w:rPr>
              <w:t>Scoring Criteria (10 Points Each)</w:t>
            </w:r>
          </w:p>
        </w:tc>
        <w:tc>
          <w:tcPr>
            <w:tcW w:type="dxa" w:w="1152"/>
            <w:shd w:val="clear" w:color="auto" w:fill="1E293B"/>
            <w:tcMar>
              <w:top w:w="100" w:type="dxa"/>
              <w:bottom w:w="100" w:type="dxa"/>
              <w:left w:w="100" w:type="dxa"/>
              <w:right w:w="100" w:type="dxa"/>
            </w:tcMar>
          </w:tcPr>
          <w:p>
            <w:r>
              <w:rPr>
                <w:b/>
                <w:color w:val="FFFFFF"/>
                <w:sz w:val="20"/>
              </w:rPr>
              <w:t>Score</w:t>
            </w:r>
          </w:p>
        </w:tc>
      </w:tr>
      <w:tr>
        <w:tc>
          <w:tcPr>
            <w:tcW w:type="dxa" w:w="2160"/>
            <w:shd w:val="clear" w:color="auto" w:fill="F8F9FA"/>
            <w:tcMar>
              <w:top w:w="100" w:type="dxa"/>
              <w:bottom w:w="100" w:type="dxa"/>
              <w:left w:w="100" w:type="dxa"/>
              <w:right w:w="100" w:type="dxa"/>
            </w:tcMar>
          </w:tcPr>
          <w:p>
            <w:r>
              <w:rPr>
                <w:sz w:val="19"/>
              </w:rPr>
              <w:t>Round 1 · Reach</w:t>
            </w:r>
          </w:p>
        </w:tc>
        <w:tc>
          <w:tcPr>
            <w:tcW w:type="dxa" w:w="6048"/>
            <w:shd w:val="clear" w:color="auto" w:fill="F8F9FA"/>
            <w:tcMar>
              <w:top w:w="100" w:type="dxa"/>
              <w:bottom w:w="100" w:type="dxa"/>
              <w:left w:w="100" w:type="dxa"/>
              <w:right w:w="100" w:type="dxa"/>
            </w:tcMar>
          </w:tcPr>
          <w:p>
            <w:r>
              <w:rPr>
                <w:sz w:val="19"/>
              </w:rPr>
              <w:t>A drafted amendment that extends coverage to informal or seasonal workers (comments earn 0 points).</w:t>
            </w:r>
          </w:p>
        </w:tc>
        <w:tc>
          <w:tcPr>
            <w:tcW w:type="dxa" w:w="1152"/>
            <w:shd w:val="clear" w:color="auto" w:fill="F8F9FA"/>
            <w:tcMar>
              <w:top w:w="100" w:type="dxa"/>
              <w:bottom w:w="100" w:type="dxa"/>
              <w:left w:w="100" w:type="dxa"/>
              <w:right w:w="100" w:type="dxa"/>
            </w:tcMar>
          </w:tcPr>
          <w:p>
            <w:r>
              <w:rPr>
                <w:sz w:val="19"/>
              </w:rPr>
              <w:t>/ 10</w:t>
            </w:r>
          </w:p>
        </w:tc>
      </w:tr>
      <w:tr>
        <w:tc>
          <w:tcPr>
            <w:tcW w:type="dxa" w:w="2160"/>
            <w:shd w:val="clear" w:color="auto" w:fill="FFFFFF"/>
            <w:tcMar>
              <w:top w:w="100" w:type="dxa"/>
              <w:bottom w:w="100" w:type="dxa"/>
              <w:left w:w="100" w:type="dxa"/>
              <w:right w:w="100" w:type="dxa"/>
            </w:tcMar>
          </w:tcPr>
          <w:p>
            <w:r>
              <w:rPr>
                <w:sz w:val="19"/>
              </w:rPr>
              <w:t>Round 2 · Evidence</w:t>
            </w:r>
          </w:p>
        </w:tc>
        <w:tc>
          <w:tcPr>
            <w:tcW w:type="dxa" w:w="6048"/>
            <w:shd w:val="clear" w:color="auto" w:fill="FFFFFF"/>
            <w:tcMar>
              <w:top w:w="100" w:type="dxa"/>
              <w:bottom w:w="100" w:type="dxa"/>
              <w:left w:w="100" w:type="dxa"/>
              <w:right w:w="100" w:type="dxa"/>
            </w:tcMar>
          </w:tcPr>
          <w:p>
            <w:r>
              <w:rPr>
                <w:sz w:val="19"/>
              </w:rPr>
              <w:t>A neutral statement of disagreement that both sides agree fairly represents the difference.</w:t>
            </w:r>
          </w:p>
        </w:tc>
        <w:tc>
          <w:tcPr>
            <w:tcW w:type="dxa" w:w="1152"/>
            <w:shd w:val="clear" w:color="auto" w:fill="FFFFFF"/>
            <w:tcMar>
              <w:top w:w="100" w:type="dxa"/>
              <w:bottom w:w="100" w:type="dxa"/>
              <w:left w:w="100" w:type="dxa"/>
              <w:right w:w="100" w:type="dxa"/>
            </w:tcMar>
          </w:tcPr>
          <w:p>
            <w:r>
              <w:rPr>
                <w:sz w:val="19"/>
              </w:rPr>
              <w:t>/ 10</w:t>
            </w:r>
          </w:p>
        </w:tc>
      </w:tr>
      <w:tr>
        <w:tc>
          <w:tcPr>
            <w:tcW w:type="dxa" w:w="2160"/>
            <w:shd w:val="clear" w:color="auto" w:fill="F8F9FA"/>
            <w:tcMar>
              <w:top w:w="100" w:type="dxa"/>
              <w:bottom w:w="100" w:type="dxa"/>
              <w:left w:w="100" w:type="dxa"/>
              <w:right w:w="100" w:type="dxa"/>
            </w:tcMar>
          </w:tcPr>
          <w:p>
            <w:r>
              <w:rPr>
                <w:sz w:val="19"/>
              </w:rPr>
              <w:t>Round 3 · Delivery</w:t>
            </w:r>
          </w:p>
        </w:tc>
        <w:tc>
          <w:tcPr>
            <w:tcW w:type="dxa" w:w="6048"/>
            <w:shd w:val="clear" w:color="auto" w:fill="F8F9FA"/>
            <w:tcMar>
              <w:top w:w="100" w:type="dxa"/>
              <w:bottom w:w="100" w:type="dxa"/>
              <w:left w:w="100" w:type="dxa"/>
              <w:right w:w="100" w:type="dxa"/>
            </w:tcMar>
          </w:tcPr>
          <w:p>
            <w:r>
              <w:rPr>
                <w:sz w:val="19"/>
              </w:rPr>
              <w:t>2 points each for specifying a Post, Date, Test, Evidence Source, and Expanded Reach.</w:t>
            </w:r>
          </w:p>
        </w:tc>
        <w:tc>
          <w:tcPr>
            <w:tcW w:type="dxa" w:w="1152"/>
            <w:shd w:val="clear" w:color="auto" w:fill="F8F9FA"/>
            <w:tcMar>
              <w:top w:w="100" w:type="dxa"/>
              <w:bottom w:w="100" w:type="dxa"/>
              <w:left w:w="100" w:type="dxa"/>
              <w:right w:w="100" w:type="dxa"/>
            </w:tcMar>
          </w:tcPr>
          <w:p>
            <w:r>
              <w:rPr>
                <w:sz w:val="19"/>
              </w:rPr>
              <w:t>/ 10</w:t>
            </w:r>
          </w:p>
        </w:tc>
      </w:tr>
    </w:tbl>
    <w:p>
      <w:pPr>
        <w:spacing w:after="240"/>
      </w:pPr>
    </w:p>
    <w:p>
      <w:r>
        <w:rPr>
          <w:b/>
        </w:rPr>
        <w:t>Three Tests to Keep in Your Notebook:</w:t>
        <w:br/>
      </w:r>
      <w:r>
        <w:t>1. Who does this policy reach, and who does it quietly leave out?</w:t>
        <w:br/>
      </w:r>
      <w:r>
        <w:t>2. What facts are agreed upon before the discussion begins?</w:t>
        <w:br/>
      </w:r>
      <w:r>
        <w:t>3. Six months from now, how will anyone verify that this happened?</w:t>
        <w:br/>
        <w:br/>
      </w:r>
      <w:r>
        <w:rPr>
          <w:b/>
        </w:rPr>
        <w:t xml:space="preserve">Final Chair Check: </w:t>
      </w:r>
      <w:r>
        <w:t>Before closing any meeting, confirm if there is at least one specific person who knows what action they must take on Monday morning.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1E293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0284C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