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12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Plenary feedback criteria and commitment card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12 — Day four, 11:00–12:30   ·   All participants</w:t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8"/>
        </w:rPr>
        <w:t>Part 1 — Feedback criteria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Use these while each group presents. Note one answer per presentation.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 1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 2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 3</w:t>
            </w:r>
          </w:p>
        </w:tc>
        <w:tc>
          <w:tcPr>
            <w:tcW w:type="dxa" w:w="15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 4</w:t>
            </w:r>
          </w:p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Would this work in your institution? If not, what specifically would stop it?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Is the first step genuinely within the named owner’s control?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does this reach, and who does it miss?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  <w:tr>
        <w:trPr>
          <w:trHeight w:val="1080"/>
        </w:trP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would you, personally or institutionally, have to do for this to succeed?</w:t>
            </w:r>
          </w:p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  <w:tc>
          <w:tcPr>
            <w:tcW w:type="dxa" w:w="1584"/>
          </w:tcPr>
          <w:p/>
        </w:tc>
      </w:tr>
    </w:tbl>
    <w:p>
      <w:pPr>
        <w:spacing w:after="40"/>
      </w:pPr>
    </w:p>
    <w:p>
      <w:pPr>
        <w:spacing w:before="0" w:after="200"/>
      </w:pPr>
      <w:r>
        <w:rPr>
          <w:rFonts w:ascii="Calibri" w:hAnsi="Calibri"/>
          <w:b w:val="0"/>
          <w:i/>
          <w:color w:val="E72F1F"/>
          <w:sz w:val="20"/>
        </w:rPr>
        <w:t>The fourth question is the one that turns an audience into participants.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0D6652"/>
          <w:sz w:val="28"/>
        </w:rPr>
        <w:t>Part 2 — My 30-day commitment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E72F1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THE RULE</w:t>
            </w:r>
            <w:r>
              <w:rPr>
                <w:rFonts w:ascii="Calibri" w:hAnsi="Calibri"/>
                <w:color w:val="D6E4E0"/>
                <w:sz w:val="20"/>
              </w:rPr>
              <w:t xml:space="preserve">    It must be within your own authority. Not something you will propose — something you will do.</w:t>
            </w:r>
          </w:p>
        </w:tc>
      </w:tr>
    </w:tbl>
    <w:p>
      <w:pPr>
        <w:spacing w:after="40"/>
      </w:pPr>
    </w:p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662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6624"/>
          </w:tcPr>
          <w:p/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Institution and role</w:t>
            </w:r>
          </w:p>
        </w:tc>
        <w:tc>
          <w:tcPr>
            <w:tcW w:type="dxa" w:w="6624"/>
          </w:tcPr>
          <w:p/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Within 30 days of returning, I will</w:t>
            </w:r>
          </w:p>
        </w:tc>
        <w:tc>
          <w:tcPr>
            <w:tcW w:type="dxa" w:w="6624"/>
          </w:tcPr>
          <w:p/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By this date</w:t>
            </w:r>
          </w:p>
        </w:tc>
        <w:tc>
          <w:tcPr>
            <w:tcW w:type="dxa" w:w="6624"/>
          </w:tcPr>
          <w:p/>
        </w:tc>
      </w:tr>
      <w:tr>
        <w:trPr>
          <w:trHeight w:val="1080"/>
        </w:trPr>
        <w:tc>
          <w:tcPr>
            <w:tcW w:type="dxa" w:w="316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 will know it is done when</w:t>
            </w:r>
          </w:p>
        </w:tc>
        <w:tc>
          <w:tcPr>
            <w:tcW w:type="dxa" w:w="6624"/>
          </w:tcPr>
          <w:p/>
        </w:tc>
      </w:tr>
    </w:tbl>
    <w:p>
      <w:pPr>
        <w:spacing w:after="40"/>
      </w:pPr>
    </w:p>
    <w:p>
      <w:pPr>
        <w:spacing w:before="120" w:after="80"/>
      </w:pPr>
      <w:r>
        <w:rPr>
          <w:rFonts w:ascii="Calibri" w:hAnsi="Calibri"/>
          <w:b w:val="0"/>
          <w:i/>
          <w:color w:val="595959"/>
          <w:sz w:val="20"/>
        </w:rPr>
        <w:t>Keep this card. The facilitation team photographs them for the course record.</w:t>
      </w:r>
    </w:p>
    <w:p>
      <w:pPr>
        <w:spacing w:before="200" w:after="60"/>
      </w:pPr>
      <w:r>
        <w:rPr>
          <w:rFonts w:ascii="Calibri" w:hAnsi="Calibri"/>
          <w:b/>
          <w:i w:val="0"/>
          <w:color w:val="0E2841"/>
          <w:sz w:val="23"/>
        </w:rPr>
        <w:t>Examples at the right scale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"I will ask, at the next meeting, who owns each conclusion we adopt — before we adopt it."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"I will add a reach statement to our paper template and use it on the next paper I draft."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"I will extract every conclusion from the last two years of minutes into a single register."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"I will put our women’s committee on the circulation list for every paper we receive."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