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2.1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Building the institutional map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2 — Day one, 11:00–12:30   ·   25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Map the tripartite institutions that matter for your assigned policy area, and mark every point where responsibility passes from one body to another.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Calibri" w:hAnsi="Calibri"/>
          <w:b/>
          <w:i w:val="0"/>
          <w:sz w:val="22"/>
        </w:rPr>
        <w:t>Your policy area: ______________________________________________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1.  </w:t>
      </w:r>
      <w:r>
        <w:rPr>
          <w:rFonts w:ascii="Calibri" w:hAnsi="Calibri"/>
          <w:sz w:val="21"/>
        </w:rPr>
        <w:t>Place national bodies at the top of the A1 sheet, sectoral in the middle, thematic below.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2.  </w:t>
      </w:r>
      <w:r>
        <w:rPr>
          <w:rFonts w:ascii="Calibri" w:hAnsi="Calibri"/>
          <w:sz w:val="21"/>
        </w:rPr>
        <w:t>Complete the six questions for each body, using the table on this sheet.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3.  </w:t>
      </w:r>
      <w:r>
        <w:rPr>
          <w:rFonts w:ascii="Calibri" w:hAnsi="Calibri"/>
          <w:sz w:val="21"/>
        </w:rPr>
        <w:t>Draw an arrow wherever a decision or recommendation passes from one body to another.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4.  </w:t>
      </w:r>
      <w:r>
        <w:rPr>
          <w:rFonts w:ascii="Calibri" w:hAnsi="Calibri"/>
          <w:sz w:val="21"/>
        </w:rPr>
        <w:t>Mark each arrow SOLID if a written rule governs it, DASHED if it depends on practice or personal contact.</w:t>
      </w:r>
    </w:p>
    <w:p>
      <w:pPr>
        <w:spacing w:before="0" w:after="80"/>
        <w:ind w:left="605" w:hanging="317"/>
      </w:pPr>
      <w:r>
        <w:rPr>
          <w:rFonts w:ascii="Calibri" w:hAnsi="Calibri"/>
          <w:b/>
          <w:color w:val="0D6652"/>
          <w:sz w:val="21"/>
        </w:rPr>
        <w:t xml:space="preserve">5.  </w:t>
      </w:r>
      <w:r>
        <w:rPr>
          <w:rFonts w:ascii="Calibri" w:hAnsi="Calibri"/>
          <w:sz w:val="21"/>
        </w:rPr>
        <w:t>Circle every point where two bodies could both claim the same question.</w:t>
      </w:r>
    </w:p>
    <w:p>
      <w:pPr>
        <w:spacing w:before="80" w:after="160"/>
      </w:pPr>
      <w:r>
        <w:rPr>
          <w:rFonts w:ascii="Calibri" w:hAnsi="Calibri"/>
          <w:b w:val="0"/>
          <w:i/>
          <w:color w:val="E72F1F"/>
          <w:sz w:val="20"/>
        </w:rPr>
        <w:t>Leave a blank and write a question mark where the group does not know. A documented gap is worth more than a confident guess.</w:t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4"/>
        </w:rPr>
        <w:t>The six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Body 1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Body 2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Body 3</w:t>
            </w:r>
          </w:p>
        </w:tc>
      </w:tr>
      <w:tr>
        <w:trPr>
          <w:trHeight w:val="122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  Legal basis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statute, rule or notification creates it, and what does it require?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  Composition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many from each constituency, appointed by whom, for how long, quorum?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  Mandate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may it decide, what may it only recommend, and to whom?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  Meeting rhythm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Required frequency  /  actual frequency in the last two years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  Secretariat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services it, dedicated or seconded, and where do they sit?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224"/>
        </w:trP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6  Output route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Where do its conclusions go, who must respond, within what period?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