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3.1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Comparative case notes and the transferability test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3 — Day one, 13:30–15:00   ·   12 minutes   ·   Four mixed tripartite groups</w:t>
      </w:r>
    </w:p>
    <w:p>
      <w:pPr>
        <w:spacing w:before="0" w:after="200"/>
      </w:pPr>
      <w:r>
        <w:rPr>
          <w:rFonts w:ascii="Calibri" w:hAnsi="Calibri"/>
          <w:b w:val="0"/>
          <w:i/>
          <w:color w:val="595959"/>
          <w:sz w:val="20"/>
        </w:rPr>
        <w:t>The case notes are summaries of structural patterns, not full country descriptions — the purpose is to compare designs and the conditions they depend on. Verify any figure or current arrangement before citing it outside this room.</w:t>
      </w: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A — South Africa: a statutory council with standing chambers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Established by its own Act of Parliament, with a mandate to consider significant labour market and socio-economic policy before it goes to Parliament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Four constituencies: government, business, labour, and a community constituency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Work divided across standing chambers, so several questions proceed in parallel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permanent executive director and a dedicated professional secretariat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statutory obligation on government to table policy there — without it, attendance decays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Social partners with the technical capacity to engage on economic, not only labour, policy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funded secretariat able to commission and challenge analysis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Acceptance that a fourth, non-social-partner constituency sits at the table, filtered by chamber so that the collective bargaining space is preserved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B — Singapore: functional separation and an annual wage council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Three bodies with three non-overlapping mandates: the ministry retains statutory authority over labour law, inspection and adjudication; a national wages council formulates annual wage guidelines; a joint entity owned by the tripartite partners carries the operational programmes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The wage council works from an evidence base assembled and circulated before it meets, and issues one set of non-binding national guidelines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Sectoral wage ladders tie each step up to a required skills level and a required wage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Separation is by function, not by subject, so the boundary between bodies is rarely argued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secretariat with the technical capacity to assemble and audit the evidence base weeks in advance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Government application of the guidelines in the public sector, which sets the reference point for everyone else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functioning skills and certification system, without which a wage ladder has nothing to stand 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Decades of continuity — the guidelines carry weight because they have been issued, published and followed for a very long time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C — An advisory council with independent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national advisory council on social and economic policy; employers, trade unions and independent members appointed for their expertise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Advice is published, reasoned and public, which creates its own pressure to respond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separate bipartite body handles employer–union agreements, keeping the functions distinct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Long-horizon work — questions are taken up years before they become decisions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tradition of reasoned consensus rather than positional bargaining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Independent members who are genuinely independent and publicly credible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Patience — the value shows over years, not within a political cycle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clear separation between the advisory function and collective bargaining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D — A lean body in a lower-income setting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small national tripartite body with a narrow, clearly defined remit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short standing agenda — a handful of questions carried across meetings until resolved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secretariat of two or three, supplemented by technical support from the ILO and from the constituent organizations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Sectoral committees that report in on a fixed cycle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narrow remit done consistently builds more credibility than a broad remit done occasionally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Carrying questions across meetings is a cheap substitute for a large secretariat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Technical capacity can be borrowed; the capacity to commission and judge it cannot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fixed reporting cycle from sectoral bodies solves downward coordination with no new structure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Exercise 3.1 — The transferability test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Choose one feature from the cases and run it through the five questions, against the institutional map your group built this morning.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The feature your group has chosen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4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4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Standing chambers, with matters allocated at the point of entry</w:t>
            </w:r>
          </w:p>
        </w:tc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Functional separation between bodies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Pre-legislative scrutiny — an obligation to bring certain questions</w:t>
            </w:r>
          </w:p>
        </w:tc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two-part report: agreed provisions, and recorded dissent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 evidence base agreed before the negotiation opens</w:t>
            </w:r>
          </w:p>
        </w:tc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4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sectoral wage ladder tied to skills</w:t>
            </w:r>
          </w:p>
        </w:tc>
      </w:tr>
    </w:tbl>
    <w:p>
      <w:pPr>
        <w:spacing w:after="40"/>
      </w:pPr>
    </w:p>
    <w:p>
      <w:pPr>
        <w:spacing w:before="60" w:after="160"/>
      </w:pPr>
      <w:r>
        <w:rPr>
          <w:rFonts w:ascii="Calibri" w:hAnsi="Calibri"/>
          <w:b w:val="0"/>
          <w:i w:val="0"/>
          <w:sz w:val="21"/>
        </w:rPr>
        <w:t>Or another: ______________________________________________________________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1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five questions</w:t>
            </w:r>
          </w:p>
        </w:tc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</w:t>
            </w:r>
          </w:p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1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problem did it solve?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And does that problem exist here?</w:t>
            </w:r>
          </w:p>
        </w:tc>
        <w:tc>
          <w:tcPr>
            <w:tcW w:type="dxa" w:w="5184"/>
          </w:tcPr>
          <w:p/>
        </w:tc>
      </w:tr>
      <w:tr>
        <w:trPr>
          <w:trHeight w:val="1224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1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does it rest on?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Name the legal, financial and industrial relations conditions it needs</w:t>
            </w:r>
          </w:p>
        </w:tc>
        <w:tc>
          <w:tcPr>
            <w:tcW w:type="dxa" w:w="5184"/>
            <w:shd w:val="clear" w:color="auto" w:fill="F4F6F5"/>
          </w:tcPr>
          <w:p/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1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of those exist here?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 honest. A missing condition is not a detail to be worked around later</w:t>
            </w:r>
          </w:p>
        </w:tc>
        <w:tc>
          <w:tcPr>
            <w:tcW w:type="dxa" w:w="5184"/>
          </w:tcPr>
          <w:p/>
        </w:tc>
      </w:tr>
      <w:tr>
        <w:trPr>
          <w:trHeight w:val="1224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1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is the cheapest version?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Most features have a minimal form that captures most of the value</w:t>
            </w:r>
          </w:p>
        </w:tc>
        <w:tc>
          <w:tcPr>
            <w:tcW w:type="dxa" w:w="5184"/>
            <w:shd w:val="clear" w:color="auto" w:fill="F4F6F5"/>
          </w:tcPr>
          <w:p/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would tell us it is failing?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Agree the indicator before adopting, not after</w:t>
            </w:r>
          </w:p>
        </w:tc>
        <w:tc>
          <w:tcPr>
            <w:tcW w:type="dxa" w:w="5184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3"/>
        </w:rPr>
        <w:t>Then three answers in one line 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4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</w:t>
            </w:r>
          </w:p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cheapest version of this feature that would still be worth having</w:t>
            </w:r>
          </w:p>
        </w:tc>
        <w:tc>
          <w:tcPr>
            <w:tcW w:type="dxa" w:w="5472"/>
          </w:tcPr>
          <w:p/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one enabling condition that is missing here — and who could supply it</w:t>
            </w:r>
          </w:p>
        </w:tc>
        <w:tc>
          <w:tcPr>
            <w:tcW w:type="dxa" w:w="5472"/>
          </w:tcPr>
          <w:p/>
        </w:tc>
      </w:tr>
      <w:tr>
        <w:trPr>
          <w:trHeight w:val="864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indicator that would tell you within a year that it was not working</w:t>
            </w:r>
          </w:p>
        </w:tc>
        <w:tc>
          <w:tcPr>
            <w:tcW w:type="dxa" w:w="5472"/>
          </w:tcPr>
          <w:p/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b w:val="0"/>
          <w:i/>
          <w:color w:val="E72F1F"/>
          <w:sz w:val="20"/>
        </w:rPr>
        <w:t>Question three is where groups are most optimistic. If every condition already exists, you have not asked the question properly.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3.1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