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4.2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The coordination protocol — drafting template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4 — Day one, 15:30–16:30 — take-away, and the output sheet for the role play   ·   Use during the role play; complete afterwards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Draft a working protocol between the National Social Dialogue Forum, the NTCC and the sectoral bodies, covering division of labour, referral and information flow.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/>
          <w:color w:val="595959"/>
          <w:sz w:val="20"/>
        </w:rPr>
        <w:t>In the role play you will not get beyond clauses 1 and 2. That is expected — complete the rest in your own institution, with this sheet as the frame.</w:t>
      </w: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2"/>
        </w:rPr>
        <w:t>The test to draft against</w:t>
      </w:r>
    </w:p>
    <w:p>
      <w:pPr>
        <w:spacing w:before="0" w:after="80"/>
      </w:pPr>
      <w:r>
        <w:rPr>
          <w:rFonts w:ascii="Calibri" w:hAnsi="Calibri"/>
          <w:b w:val="0"/>
          <w:i/>
          <w:sz w:val="22"/>
        </w:rPr>
        <w:t>“A constituent organization should be able to say, without asking anyone, which body is handling a given question today and when it will be decided.”</w:t>
      </w:r>
    </w:p>
    <w:p>
      <w:pPr>
        <w:spacing w:before="0" w:after="200"/>
      </w:pPr>
      <w:r>
        <w:rPr>
          <w:rFonts w:ascii="Calibri" w:hAnsi="Calibri"/>
          <w:b w:val="0"/>
          <w:i/>
          <w:color w:val="E72F1F"/>
          <w:sz w:val="20"/>
        </w:rPr>
        <w:t>Write numbers, not adjectives. "Within ten working days" — not "promptly". "The body meeting soonest" — not "as appropriate".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Clause 1 — Basis for the division of labour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Tick one, then write one sentence saying why.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17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Basis</w:t>
            </w:r>
          </w:p>
        </w:tc>
        <w:tc>
          <w:tcPr>
            <w:tcW w:type="dxa" w:w="51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this one</w:t>
            </w:r>
          </w:p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subject — each body takes defined subjects</w:t>
            </w:r>
          </w:p>
        </w:tc>
        <w:tc>
          <w:tcPr>
            <w:tcW w:type="dxa" w:w="5112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function — one consults where the law requires it, the other convenes and builds evidence</w:t>
            </w:r>
          </w:p>
        </w:tc>
        <w:tc>
          <w:tcPr>
            <w:tcW w:type="dxa" w:w="5112"/>
          </w:tcPr>
          <w:p/>
        </w:tc>
      </w:tr>
      <w:tr>
        <w:trPr>
          <w:trHeight w:val="720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stage — each body owns a distinct stage of the policy cycle</w:t>
            </w:r>
          </w:p>
        </w:tc>
        <w:tc>
          <w:tcPr>
            <w:tcW w:type="dxa" w:w="51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Clause 2 — Referral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61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rule</w:t>
            </w:r>
          </w:p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Default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body receives a new question first, absent agreement otherwise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Trigger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facts move a question from one body to the other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Timing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How long before referral becomes automatic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Record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travels with the question — file, minutes, recorded positions, dissent, or conclusion only</w:t>
            </w:r>
          </w:p>
        </w:tc>
        <w:tc>
          <w:tcPr>
            <w:tcW w:type="dxa" w:w="6192"/>
          </w:tcPr>
          <w:p/>
        </w:tc>
      </w:tr>
      <w:tr>
        <w:trPr>
          <w:trHeight w:val="864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Tie-break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decides when both bodies claim a question, and on what basis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Clause 3 — Information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64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wording (include the number of days)</w:t>
            </w:r>
          </w:p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Exchange of agendas</w:t>
            </w:r>
          </w:p>
        </w:tc>
        <w:tc>
          <w:tcPr>
            <w:tcW w:type="dxa" w:w="6480"/>
          </w:tcPr>
          <w:p/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Exchange of adopted conclusions</w:t>
            </w:r>
          </w:p>
        </w:tc>
        <w:tc>
          <w:tcPr>
            <w:tcW w:type="dxa" w:w="6480"/>
          </w:tcPr>
          <w:p/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Shared forward calendar</w:t>
            </w:r>
          </w:p>
        </w:tc>
        <w:tc>
          <w:tcPr>
            <w:tcW w:type="dxa" w:w="6480"/>
          </w:tcPr>
          <w:p/>
        </w:tc>
      </w:tr>
      <w:tr>
        <w:trPr>
          <w:trHeight w:val="648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Shared register of live questions</w:t>
            </w:r>
          </w:p>
        </w:tc>
        <w:tc>
          <w:tcPr>
            <w:tcW w:type="dxa" w:w="6480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3"/>
        </w:rPr>
        <w:t>Clause 4 — Downward coordination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Calibri" w:hAnsi="Calibri"/>
          <w:b/>
          <w:i w:val="0"/>
          <w:color w:val="0E2841"/>
          <w:sz w:val="23"/>
        </w:rPr>
        <w:t>Clause 5 — Publication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3"/>
        </w:rPr>
        <w:t>Final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77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10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Yes</w:t>
            </w:r>
          </w:p>
        </w:tc>
        <w:tc>
          <w:tcPr>
            <w:tcW w:type="dxa" w:w="10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</w:t>
            </w:r>
          </w:p>
        </w:tc>
      </w:tr>
      <w:tr>
        <w:trPr>
          <w:trHeight w:val="576"/>
        </w:trPr>
        <w:tc>
          <w:tcPr>
            <w:tcW w:type="dxa" w:w="77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Could a constituent organization apply this without asking anyone?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rPr>
          <w:trHeight w:val="576"/>
        </w:trPr>
        <w:tc>
          <w:tcPr>
            <w:tcW w:type="dxa" w:w="77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every clause contain a number rather than an adjective?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rPr>
          <w:trHeight w:val="576"/>
        </w:trPr>
        <w:tc>
          <w:tcPr>
            <w:tcW w:type="dxa" w:w="77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clauses need an instrument, and which could start next month?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4.2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