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5.1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The inclusion audit — gender, non-discrimination and reach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5 — Day two, 13:30–15:00   ·   12 minutes   ·   Four mixed tripartite groups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3680"/>
      </w:tblGrid>
      <w:tr>
        <w:tc>
          <w:tcPr>
            <w:tcW w:type="dxa" w:w="136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Audit one real measure against the reach test, and draft the amendments rather than describing them.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libri" w:hAnsi="Calibri"/>
          <w:b w:val="0"/>
          <w:i/>
          <w:color w:val="595959"/>
          <w:sz w:val="20"/>
        </w:rPr>
        <w:t>Use a recent proposal from one of your own institutions. If no group has one to hand, use the simulated case on the last page.</w:t>
      </w:r>
    </w:p>
    <w:p>
      <w:pPr>
        <w:spacing w:before="0" w:after="200"/>
      </w:pPr>
      <w:r>
        <w:rPr>
          <w:rFonts w:ascii="Calibri" w:hAnsi="Calibri"/>
          <w:b/>
          <w:i w:val="0"/>
          <w:sz w:val="22"/>
        </w:rPr>
        <w:t>The measure we are auditing: ______________________________________________________________________________</w:t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26"/>
        </w:rPr>
        <w:t>Step 1 — Who is affected, and what do we actually know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31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74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the paper says</w:t>
            </w:r>
          </w:p>
        </w:tc>
        <w:tc>
          <w:tcPr>
            <w:tcW w:type="dxa" w:w="374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should say</w:t>
            </w:r>
          </w:p>
        </w:tc>
        <w:tc>
          <w:tcPr>
            <w:tcW w:type="dxa" w:w="360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Where the number would come from</w:t>
            </w:r>
          </w:p>
        </w:tc>
      </w:tr>
      <w:tr>
        <w:trPr>
          <w:trHeight w:val="605"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Total affected population</w:t>
            </w:r>
          </w:p>
        </w:tc>
        <w:tc>
          <w:tcPr>
            <w:tcW w:type="dxa" w:w="3744"/>
          </w:tcPr>
          <w:p/>
        </w:tc>
        <w:tc>
          <w:tcPr>
            <w:tcW w:type="dxa" w:w="3744"/>
          </w:tcPr>
          <w:p/>
        </w:tc>
        <w:tc>
          <w:tcPr>
            <w:tcW w:type="dxa" w:w="3600"/>
          </w:tcPr>
          <w:p/>
        </w:tc>
      </w:tr>
      <w:tr>
        <w:trPr>
          <w:trHeight w:val="605"/>
        </w:trPr>
        <w:tc>
          <w:tcPr>
            <w:tcW w:type="dxa" w:w="3312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Share who are women</w:t>
            </w:r>
          </w:p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3600"/>
            <w:shd w:val="clear" w:color="auto" w:fill="F4F6F5"/>
          </w:tcPr>
          <w:p/>
        </w:tc>
      </w:tr>
      <w:tr>
        <w:trPr>
          <w:trHeight w:val="605"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Share in informal employment</w:t>
            </w:r>
          </w:p>
        </w:tc>
        <w:tc>
          <w:tcPr>
            <w:tcW w:type="dxa" w:w="3744"/>
          </w:tcPr>
          <w:p/>
        </w:tc>
        <w:tc>
          <w:tcPr>
            <w:tcW w:type="dxa" w:w="3744"/>
          </w:tcPr>
          <w:p/>
        </w:tc>
        <w:tc>
          <w:tcPr>
            <w:tcW w:type="dxa" w:w="3600"/>
          </w:tcPr>
          <w:p/>
        </w:tc>
      </w:tr>
      <w:tr>
        <w:trPr>
          <w:trHeight w:val="605"/>
        </w:trPr>
        <w:tc>
          <w:tcPr>
            <w:tcW w:type="dxa" w:w="3312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Share in the sectors with the lowest rates</w:t>
            </w:r>
          </w:p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3744"/>
            <w:shd w:val="clear" w:color="auto" w:fill="F4F6F5"/>
          </w:tcPr>
          <w:p/>
        </w:tc>
        <w:tc>
          <w:tcPr>
            <w:tcW w:type="dxa" w:w="3600"/>
            <w:shd w:val="clear" w:color="auto" w:fill="F4F6F5"/>
          </w:tcPr>
          <w:p/>
        </w:tc>
      </w:tr>
      <w:tr>
        <w:trPr>
          <w:trHeight w:val="605"/>
        </w:trPr>
        <w:tc>
          <w:tcPr>
            <w:tcW w:type="dxa" w:w="331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Disaggregation actually present in the evidence</w:t>
            </w:r>
          </w:p>
        </w:tc>
        <w:tc>
          <w:tcPr>
            <w:tcW w:type="dxa" w:w="3744"/>
          </w:tcPr>
          <w:p/>
        </w:tc>
        <w:tc>
          <w:tcPr>
            <w:tcW w:type="dxa" w:w="3744"/>
          </w:tcPr>
          <w:p/>
        </w:tc>
        <w:tc>
          <w:tcPr>
            <w:tcW w:type="dxa" w:w="3600"/>
          </w:tcPr>
          <w:p/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6"/>
        </w:rPr>
        <w:t>Step 2 — The reach test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633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four questions</w:t>
            </w:r>
          </w:p>
        </w:tc>
        <w:tc>
          <w:tcPr>
            <w:tcW w:type="dxa" w:w="144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Yes / No</w:t>
            </w:r>
          </w:p>
        </w:tc>
        <w:tc>
          <w:tcPr>
            <w:tcW w:type="dxa" w:w="612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If yes, who does the measure stop at?</w:t>
            </w:r>
          </w:p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depend on the worker having a written contract, a registered employer or a fixed workplace?</w:t>
            </w:r>
          </w:p>
        </w:tc>
        <w:tc>
          <w:tcPr>
            <w:tcW w:type="dxa" w:w="1440"/>
          </w:tcPr>
          <w:p/>
        </w:tc>
        <w:tc>
          <w:tcPr>
            <w:tcW w:type="dxa" w:w="6120"/>
          </w:tcPr>
          <w:p/>
        </w:tc>
      </w:tr>
      <w:tr>
        <w:trPr>
          <w:trHeight w:val="792"/>
        </w:trPr>
        <w:tc>
          <w:tcPr>
            <w:tcW w:type="dxa" w:w="5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33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depend on the worker initiating a claim — and bearing the cost and the risk of doing so?</w:t>
            </w:r>
          </w:p>
        </w:tc>
        <w:tc>
          <w:tcPr>
            <w:tcW w:type="dxa" w:w="1440"/>
            <w:shd w:val="clear" w:color="auto" w:fill="F4F6F5"/>
          </w:tcPr>
          <w:p/>
        </w:tc>
        <w:tc>
          <w:tcPr>
            <w:tcW w:type="dxa" w:w="6120"/>
            <w:shd w:val="clear" w:color="auto" w:fill="F4F6F5"/>
          </w:tcPr>
          <w:p/>
        </w:tc>
      </w:tr>
      <w:tr>
        <w:trPr>
          <w:trHeight w:val="792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Does it reach people through a channel they already use, or does it require them to find a new one?</w:t>
            </w:r>
          </w:p>
        </w:tc>
        <w:tc>
          <w:tcPr>
            <w:tcW w:type="dxa" w:w="1440"/>
          </w:tcPr>
          <w:p/>
        </w:tc>
        <w:tc>
          <w:tcPr>
            <w:tcW w:type="dxa" w:w="6120"/>
          </w:tcPr>
          <w:p/>
        </w:tc>
      </w:tr>
      <w:tr>
        <w:trPr>
          <w:trHeight w:val="792"/>
        </w:trPr>
        <w:tc>
          <w:tcPr>
            <w:tcW w:type="dxa" w:w="50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336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Is the administrative burden on the party best able to carry it?</w:t>
            </w:r>
          </w:p>
        </w:tc>
        <w:tc>
          <w:tcPr>
            <w:tcW w:type="dxa" w:w="1440"/>
            <w:shd w:val="clear" w:color="auto" w:fill="F4F6F5"/>
          </w:tcPr>
          <w:p/>
        </w:tc>
        <w:tc>
          <w:tcPr>
            <w:tcW w:type="dxa" w:w="6120"/>
            <w:shd w:val="clear" w:color="auto" w:fill="F4F6F5"/>
          </w:tcPr>
          <w:p/>
        </w:tc>
      </w:tr>
    </w:tbl>
    <w:p>
      <w:pPr>
        <w:spacing w:after="40"/>
      </w:pPr>
    </w:p>
    <w:p>
      <w:pPr>
        <w:spacing w:before="60" w:after="80"/>
      </w:pPr>
      <w:r>
        <w:rPr>
          <w:rFonts w:ascii="Calibri" w:hAnsi="Calibri"/>
          <w:b w:val="0"/>
          <w:i/>
          <w:color w:val="E72F1F"/>
          <w:sz w:val="20"/>
        </w:rPr>
        <w:t>If the answer to the first two is yes, the measure will reach the formal economy and stop there.</w:t>
      </w:r>
    </w:p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26"/>
        </w:rPr>
        <w:t>Step 3 — Who it reaches, and who it visibly does not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475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 reaches</w:t>
            </w:r>
          </w:p>
        </w:tc>
        <w:tc>
          <w:tcPr>
            <w:tcW w:type="dxa" w:w="475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 does not reach</w:t>
            </w:r>
          </w:p>
        </w:tc>
        <w:tc>
          <w:tcPr>
            <w:tcW w:type="dxa" w:w="489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How many people is that, roughly?</w:t>
            </w:r>
          </w:p>
        </w:tc>
      </w:tr>
      <w:tr>
        <w:trPr>
          <w:trHeight w:val="1440"/>
        </w:trPr>
        <w:tc>
          <w:tcPr>
            <w:tcW w:type="dxa" w:w="4752"/>
          </w:tcPr>
          <w:p/>
        </w:tc>
        <w:tc>
          <w:tcPr>
            <w:tcW w:type="dxa" w:w="4752"/>
          </w:tcPr>
          <w:p/>
        </w:tc>
        <w:tc>
          <w:tcPr>
            <w:tcW w:type="dxa" w:w="4896"/>
          </w:tcPr>
          <w:p/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6"/>
        </w:rPr>
        <w:t>Step 4 — Two amendments, drafted</w:t>
      </w:r>
    </w:p>
    <w:p>
      <w:pPr>
        <w:spacing w:before="0" w:after="80"/>
      </w:pPr>
      <w:r>
        <w:rPr>
          <w:rFonts w:ascii="Calibri" w:hAnsi="Calibri"/>
          <w:b w:val="0"/>
          <w:i/>
          <w:color w:val="E72F1F"/>
          <w:sz w:val="20"/>
        </w:rPr>
        <w:t>Actual wording. "Should consider gender" is the add-on this session exists to eliminate — if your amendment could be deleted without changing anything else in the document, it is not an amendment.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763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amendment, as you would draft it</w:t>
            </w:r>
          </w:p>
        </w:tc>
        <w:tc>
          <w:tcPr>
            <w:tcW w:type="dxa" w:w="62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changes about who is reached</w:t>
            </w:r>
          </w:p>
        </w:tc>
      </w:tr>
      <w:tr>
        <w:trPr>
          <w:trHeight w:val="1584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7632"/>
          </w:tcPr>
          <w:p/>
        </w:tc>
        <w:tc>
          <w:tcPr>
            <w:tcW w:type="dxa" w:w="6264"/>
          </w:tcPr>
          <w:p/>
        </w:tc>
      </w:tr>
      <w:tr>
        <w:trPr>
          <w:trHeight w:val="1584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7632"/>
          </w:tcPr>
          <w:p/>
        </w:tc>
        <w:tc>
          <w:tcPr>
            <w:tcW w:type="dxa" w:w="6264"/>
          </w:tcPr>
          <w:p/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6"/>
        </w:rPr>
        <w:t>Step 5 — The disaggregation and the trigger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51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92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answer</w:t>
            </w:r>
          </w:p>
        </w:tc>
      </w:tr>
      <w:tr>
        <w:trPr>
          <w:trHeight w:val="1008"/>
        </w:trPr>
        <w:tc>
          <w:tcPr>
            <w:tcW w:type="dxa" w:w="518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one disaggregation the body should have required before deciding</w:t>
            </w:r>
          </w:p>
        </w:tc>
        <w:tc>
          <w:tcPr>
            <w:tcW w:type="dxa" w:w="9216"/>
          </w:tcPr>
          <w:p/>
        </w:tc>
      </w:tr>
      <w:tr>
        <w:trPr>
          <w:trHeight w:val="1008"/>
        </w:trPr>
        <w:tc>
          <w:tcPr>
            <w:tcW w:type="dxa" w:w="518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threshold at which a gap obliges the body to act</w:t>
            </w:r>
          </w:p>
        </w:tc>
        <w:tc>
          <w:tcPr>
            <w:tcW w:type="dxa" w:w="9216"/>
            <w:shd w:val="clear" w:color="auto" w:fill="F4F6F5"/>
          </w:tcPr>
          <w:p/>
        </w:tc>
      </w:tr>
      <w:tr>
        <w:trPr>
          <w:trHeight w:val="1008"/>
        </w:trPr>
        <w:tc>
          <w:tcPr>
            <w:tcW w:type="dxa" w:w="518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trigger clause, drafted — what the body must do, and by when, when that threshold is crossed</w:t>
            </w:r>
          </w:p>
        </w:tc>
        <w:tc>
          <w:tcPr>
            <w:tcW w:type="dxa" w:w="9216"/>
          </w:tcPr>
          <w:p/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5"/>
        </w:rPr>
        <w:t>The add-on test, before you hand this in</w:t>
      </w:r>
    </w:p>
    <w:p>
      <w:pPr>
        <w:spacing w:before="0" w:after="60"/>
      </w:pPr>
      <w:r>
        <w:rPr>
          <w:rFonts w:ascii="Calibri" w:hAnsi="Calibri"/>
          <w:b w:val="0"/>
          <w:i/>
          <w:color w:val="0E2841"/>
          <w:sz w:val="23"/>
        </w:rPr>
        <w:t>“If the gender paragraph were deleted from this proposal, would any other part of it change?”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201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Answer</w:t>
            </w:r>
          </w:p>
        </w:tc>
        <w:tc>
          <w:tcPr>
            <w:tcW w:type="dxa" w:w="123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If no — what would have to change for the answer to be yes?</w:t>
            </w:r>
          </w:p>
        </w:tc>
      </w:tr>
      <w:tr>
        <w:trPr>
          <w:trHeight w:val="864"/>
        </w:trPr>
        <w:tc>
          <w:tcPr>
            <w:tcW w:type="dxa" w:w="2016"/>
          </w:tcPr>
          <w:p/>
        </w:tc>
        <w:tc>
          <w:tcPr>
            <w:tcW w:type="dxa" w:w="12384"/>
          </w:tcPr>
          <w:p/>
        </w:tc>
      </w:tr>
    </w:tbl>
    <w:p>
      <w:pPr>
        <w:spacing w:after="40"/>
      </w:pPr>
    </w:p>
    <w:p>
      <w:r>
        <w:br w:type="page"/>
      </w:r>
    </w:p>
    <w:p>
      <w:pPr>
        <w:spacing w:before="0" w:after="60"/>
      </w:pPr>
      <w:r>
        <w:rPr>
          <w:rFonts w:ascii="Calibri" w:hAnsi="Calibri"/>
          <w:b/>
          <w:i w:val="0"/>
          <w:color w:val="0D6652"/>
          <w:sz w:val="26"/>
        </w:rPr>
        <w:t>Simulated case — use only if no group has a real paper to hand</w:t>
      </w:r>
    </w:p>
    <w:p>
      <w:pPr>
        <w:spacing w:before="0" w:after="160"/>
      </w:pPr>
      <w:r>
        <w:rPr>
          <w:rFonts w:ascii="Calibri" w:hAnsi="Calibri"/>
          <w:b/>
          <w:i w:val="0"/>
          <w:color w:val="E72F1F"/>
          <w:sz w:val="19"/>
        </w:rPr>
        <w:t>TRAINING MATERIAL — SIMULATED. Written for this exercise. The measure, the figures and the institution are invented.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23"/>
        </w:rPr>
        <w:t>Extract from a draft recommendation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1.  The body recommends the introduction of a workplace grievance registration facility in all registered establishments employing more than fifty workers.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2.  Each establishment shall designate a grievance officer, maintain a written register, and display the procedure at the workplace in the national language.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3.  A worker who wishes to raise a grievance shall submit it in writing to the designated officer, who shall acknowledge it within seven days.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4.  Where a grievance is not resolved within thirty days, the worker may refer it to the labour office having jurisdiction.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5.  Compliance shall be verified during routine inspection of registered establishments.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6.  The measure is expected to benefit workers generally, and particular attention will be given to the needs of women workers.</w:t>
      </w:r>
    </w:p>
    <w:p>
      <w:pPr>
        <w:spacing w:before="80" w:after="80"/>
      </w:pPr>
      <w:r>
        <w:rPr>
          <w:rFonts w:ascii="Calibri" w:hAnsi="Calibri"/>
          <w:b w:val="0"/>
          <w:i/>
          <w:color w:val="595959"/>
          <w:sz w:val="20"/>
        </w:rPr>
        <w:t>Four things to notice before you start — a size threshold, a writing requirement, a worker-initiated procedure, and an enforcement route that runs through the inspection of registered establishments. Paragraph 6 is the add-on.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5.1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