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6.1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Building the pre-negotiation fact base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6 — Day two, 15:30–16:30   ·   13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You are the secretariat. The body meets in three weeks to consider a wage revision. Specify the brief you will circulate.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E72F1F"/>
          <w:sz w:val="19"/>
        </w:rPr>
        <w:t>TRAINING MATERIAL — SIMULATED TASK, written for this exercise. Use your own institutional arrangements and your own national data sources.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6"/>
        </w:rPr>
        <w:t>Step 1 — The six series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series</w:t>
            </w:r>
          </w:p>
        </w:tc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 — who produces it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Collection period</w:t>
              <w:br/>
              <w:t>(not publication date)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current</w:t>
            </w:r>
          </w:p>
        </w:tc>
        <w:tc>
          <w:tcPr>
            <w:tcW w:type="dxa" w:w="24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 used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2736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rPr>
          <w:trHeight w:val="648"/>
        </w:trPr>
        <w:tc>
          <w:tcPr>
            <w:tcW w:type="dxa" w:w="43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F4F6F5"/>
          </w:tcPr>
          <w:p/>
        </w:tc>
        <w:tc>
          <w:tcPr>
            <w:tcW w:type="dxa" w:w="360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2448"/>
            <w:shd w:val="clear" w:color="auto" w:fill="F4F6F5"/>
          </w:tcPr>
          <w:p/>
        </w:tc>
      </w:tr>
      <w:tr>
        <w:trPr>
          <w:trHeight w:val="648"/>
        </w:trPr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2736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rPr>
          <w:trHeight w:val="648"/>
        </w:trPr>
        <w:tc>
          <w:tcPr>
            <w:tcW w:type="dxa" w:w="43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F4F6F5"/>
          </w:tcPr>
          <w:p/>
        </w:tc>
        <w:tc>
          <w:tcPr>
            <w:tcW w:type="dxa" w:w="360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2448"/>
            <w:shd w:val="clear" w:color="auto" w:fill="F4F6F5"/>
          </w:tcPr>
          <w:p/>
        </w:tc>
      </w:tr>
      <w:tr>
        <w:trPr>
          <w:trHeight w:val="648"/>
        </w:trPr>
        <w:tc>
          <w:tcPr>
            <w:tcW w:type="dxa" w:w="4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  <w:tc>
          <w:tcPr>
            <w:tcW w:type="dxa" w:w="2736"/>
          </w:tcPr>
          <w:p/>
        </w:tc>
        <w:tc>
          <w:tcPr>
            <w:tcW w:type="dxa" w:w="1584"/>
          </w:tcPr>
          <w:p/>
        </w:tc>
        <w:tc>
          <w:tcPr>
            <w:tcW w:type="dxa" w:w="2448"/>
          </w:tcPr>
          <w:p/>
        </w:tc>
      </w:tr>
      <w:tr>
        <w:trPr>
          <w:trHeight w:val="648"/>
        </w:trPr>
        <w:tc>
          <w:tcPr>
            <w:tcW w:type="dxa" w:w="43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600"/>
            <w:shd w:val="clear" w:color="auto" w:fill="F4F6F5"/>
          </w:tcPr>
          <w:p/>
        </w:tc>
        <w:tc>
          <w:tcPr>
            <w:tcW w:type="dxa" w:w="3600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2448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60" w:after="80"/>
      </w:pPr>
      <w:r>
        <w:rPr>
          <w:rFonts w:ascii="Calibri" w:hAnsi="Calibri"/>
          <w:b w:val="0"/>
          <w:i/>
          <w:color w:val="E72F1F"/>
          <w:sz w:val="20"/>
        </w:rPr>
        <w:t>Every figure in a brief carries its collection period, not its publication date. The two are routinely years apart.</w:t>
      </w: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Step 2 — The series the parties will dispute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Write the sentence you would put in the brief. Neutral, specific, and attributing the disagreement to the parties rather than resolving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series</w:t>
            </w:r>
          </w:p>
        </w:tc>
        <w:tc>
          <w:tcPr>
            <w:tcW w:type="dxa" w:w="44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disputes it, and on what ground</w:t>
            </w:r>
          </w:p>
        </w:tc>
        <w:tc>
          <w:tcPr>
            <w:tcW w:type="dxa" w:w="72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sentence, as it would appear in the brief</w:t>
            </w:r>
          </w:p>
        </w:tc>
      </w:tr>
      <w:tr>
        <w:trPr>
          <w:trHeight w:val="1728"/>
        </w:trPr>
        <w:tc>
          <w:tcPr>
            <w:tcW w:type="dxa" w:w="2736"/>
          </w:tcPr>
          <w:p/>
        </w:tc>
        <w:tc>
          <w:tcPr>
            <w:tcW w:type="dxa" w:w="4464"/>
          </w:tcPr>
          <w:p/>
        </w:tc>
        <w:tc>
          <w:tcPr>
            <w:tcW w:type="dxa" w:w="7200"/>
          </w:tcPr>
          <w:p/>
        </w:tc>
      </w:tr>
    </w:tbl>
    <w:p>
      <w:pPr>
        <w:spacing w:after="40"/>
      </w:pPr>
    </w:p>
    <w:p>
      <w:pPr>
        <w:spacing w:before="60" w:after="80"/>
      </w:pPr>
      <w:r>
        <w:rPr>
          <w:rFonts w:ascii="Calibri" w:hAnsi="Calibri"/>
          <w:b w:val="0"/>
          <w:i/>
          <w:color w:val="0D6652"/>
          <w:sz w:val="20"/>
        </w:rPr>
        <w:t>A worked example of the form: "The Bureau series and the series submitted by the worker members differ by X points for the same period. The difference arises from the treatment of [item]. Both series are reproduced at annex A; the body may wish to note the difference before considering the options."</w:t>
      </w: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6"/>
        </w:rPr>
        <w:t>Step 3 — The criteria your brief evidences least well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56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Convention No. 131 criteria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Evidenced?</w:t>
              <w:br/>
              <w:t>(well / thinly / not at all)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is missing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Where it could come from</w:t>
            </w:r>
          </w:p>
        </w:tc>
      </w:tr>
      <w:tr>
        <w:trPr>
          <w:trHeight w:val="1440"/>
        </w:trPr>
        <w:tc>
          <w:tcPr>
            <w:tcW w:type="dxa" w:w="561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needs of workers and their families — general level of wages, cost of living, social security benefits, relative living standards of other social groups</w:t>
            </w:r>
          </w:p>
        </w:tc>
        <w:tc>
          <w:tcPr>
            <w:tcW w:type="dxa" w:w="2160"/>
          </w:tcPr>
          <w:p/>
        </w:tc>
        <w:tc>
          <w:tcPr>
            <w:tcW w:type="dxa" w:w="3456"/>
          </w:tcPr>
          <w:p/>
        </w:tc>
        <w:tc>
          <w:tcPr>
            <w:tcW w:type="dxa" w:w="3168"/>
          </w:tcPr>
          <w:p/>
        </w:tc>
      </w:tr>
      <w:tr>
        <w:trPr>
          <w:trHeight w:val="1440"/>
        </w:trPr>
        <w:tc>
          <w:tcPr>
            <w:tcW w:type="dxa" w:w="561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Economic factors — requirements of economic development, levels of productivity, the desirability of attaining and maintaining a high level of employment</w:t>
            </w:r>
          </w:p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3456"/>
            <w:shd w:val="clear" w:color="auto" w:fill="F4F6F5"/>
          </w:tcPr>
          <w:p/>
        </w:tc>
        <w:tc>
          <w:tcPr>
            <w:tcW w:type="dxa" w:w="3168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60" w:after="80"/>
      </w:pPr>
      <w:r>
        <w:rPr>
          <w:rFonts w:ascii="Calibri" w:hAnsi="Calibri"/>
          <w:b w:val="0"/>
          <w:i/>
          <w:color w:val="595959"/>
          <w:sz w:val="20"/>
        </w:rPr>
        <w:t>The instruments assign no weight between the two sets. That weighting is the tripartite decision. What the secretariat controls is whether both sets are evidenced at all.</w:t>
      </w: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Step 4 —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61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of wage earners</w:t>
            </w:r>
          </w:p>
        </w:tc>
        <w:tc>
          <w:tcPr>
            <w:tcW w:type="dxa" w:w="17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 the brief?</w:t>
            </w:r>
          </w:p>
        </w:tc>
        <w:tc>
          <w:tcPr>
            <w:tcW w:type="dxa" w:w="64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not covered, why not — and what would it take to cover them?</w:t>
            </w:r>
          </w:p>
        </w:tc>
      </w:tr>
      <w:tr>
        <w:trPr>
          <w:trHeight w:val="605"/>
        </w:trPr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Workers in registered establishments above the size threshold</w:t>
            </w:r>
          </w:p>
        </w:tc>
        <w:tc>
          <w:tcPr>
            <w:tcW w:type="dxa" w:w="1728"/>
          </w:tcPr>
          <w:p/>
        </w:tc>
        <w:tc>
          <w:tcPr>
            <w:tcW w:type="dxa" w:w="6480"/>
          </w:tcPr>
          <w:p/>
        </w:tc>
      </w:tr>
      <w:tr>
        <w:trPr>
          <w:trHeight w:val="605"/>
        </w:trPr>
        <w:tc>
          <w:tcPr>
            <w:tcW w:type="dxa" w:w="619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Workers in establishments below the threshold</w:t>
            </w:r>
          </w:p>
        </w:tc>
        <w:tc>
          <w:tcPr>
            <w:tcW w:type="dxa" w:w="1728"/>
            <w:shd w:val="clear" w:color="auto" w:fill="F4F6F5"/>
          </w:tcPr>
          <w:p/>
        </w:tc>
        <w:tc>
          <w:tcPr>
            <w:tcW w:type="dxa" w:w="6480"/>
            <w:shd w:val="clear" w:color="auto" w:fill="F4F6F5"/>
          </w:tcPr>
          <w:p/>
        </w:tc>
      </w:tr>
      <w:tr>
        <w:trPr>
          <w:trHeight w:val="605"/>
        </w:trPr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Workers in informal employment inside formal enterprises — casual, subcontracted, through intermediaries</w:t>
            </w:r>
          </w:p>
        </w:tc>
        <w:tc>
          <w:tcPr>
            <w:tcW w:type="dxa" w:w="1728"/>
          </w:tcPr>
          <w:p/>
        </w:tc>
        <w:tc>
          <w:tcPr>
            <w:tcW w:type="dxa" w:w="6480"/>
          </w:tcPr>
          <w:p/>
        </w:tc>
      </w:tr>
      <w:tr>
        <w:trPr>
          <w:trHeight w:val="605"/>
        </w:trPr>
        <w:tc>
          <w:tcPr>
            <w:tcW w:type="dxa" w:w="619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Own-account and home-based workers</w:t>
            </w:r>
          </w:p>
        </w:tc>
        <w:tc>
          <w:tcPr>
            <w:tcW w:type="dxa" w:w="1728"/>
            <w:shd w:val="clear" w:color="auto" w:fill="F4F6F5"/>
          </w:tcPr>
          <w:p/>
        </w:tc>
        <w:tc>
          <w:tcPr>
            <w:tcW w:type="dxa" w:w="6480"/>
            <w:shd w:val="clear" w:color="auto" w:fill="F4F6F5"/>
          </w:tcPr>
          <w:p/>
        </w:tc>
      </w:tr>
      <w:tr>
        <w:trPr>
          <w:trHeight w:val="605"/>
        </w:trPr>
        <w:tc>
          <w:tcPr>
            <w:tcW w:type="dxa" w:w="61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Domestic workers</w:t>
            </w:r>
          </w:p>
        </w:tc>
        <w:tc>
          <w:tcPr>
            <w:tcW w:type="dxa" w:w="1728"/>
          </w:tcPr>
          <w:p/>
        </w:tc>
        <w:tc>
          <w:tcPr>
            <w:tcW w:type="dxa" w:w="6480"/>
          </w:tcPr>
          <w:p/>
        </w:tc>
      </w:tr>
      <w:tr>
        <w:trPr>
          <w:trHeight w:val="605"/>
        </w:trPr>
        <w:tc>
          <w:tcPr>
            <w:tcW w:type="dxa" w:w="619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Agricultural workers</w:t>
            </w:r>
          </w:p>
        </w:tc>
        <w:tc>
          <w:tcPr>
            <w:tcW w:type="dxa" w:w="1728"/>
            <w:shd w:val="clear" w:color="auto" w:fill="F4F6F5"/>
          </w:tcPr>
          <w:p/>
        </w:tc>
        <w:tc>
          <w:tcPr>
            <w:tcW w:type="dxa" w:w="6480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Step 5 — The review trigger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What event or interval obliges the body to revisit the rate — drafted as a clause, with a number in it.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115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Yes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</w:t>
            </w:r>
          </w:p>
        </w:tc>
      </w:tr>
      <w:tr>
        <w:trPr>
          <w:trHeight w:val="547"/>
        </w:trPr>
        <w:tc>
          <w:tcPr>
            <w:tcW w:type="dxa" w:w="115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the trigger contain a number rather than an adjective?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547"/>
        </w:trPr>
        <w:tc>
          <w:tcPr>
            <w:tcW w:type="dxa" w:w="115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operate without anybody having to decide to apply it?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547"/>
        </w:trPr>
        <w:tc>
          <w:tcPr>
            <w:tcW w:type="dxa" w:w="115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the parties recognize it as fair before they knew which way it would cut?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spacing w:after="40"/>
      </w:pPr>
    </w:p>
    <w:p>
      <w:pPr>
        <w:spacing w:before="100" w:after="80"/>
      </w:pPr>
      <w:r>
        <w:rPr>
          <w:rFonts w:ascii="Calibri" w:hAnsi="Calibri"/>
          <w:b w:val="0"/>
          <w:i/>
          <w:color w:val="0D6652"/>
          <w:sz w:val="20"/>
        </w:rPr>
        <w:t>Hand in: the specification, the dispute sentence and the trigger. All three go forward into the working groups tomorrow.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6.1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