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8.1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Register entry and indicator set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 8 — Day three, 11:00–12:30   ·   20 minutes   ·   Same groups as Session 7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80"/>
      </w:tblGrid>
      <w:tr>
        <w:tc>
          <w:tcPr>
            <w:tcW w:type="dxa" w:w="13680"/>
            <w:shd w:val="clear" w:color="auto" w:fill="0D6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  <w:r>
              <w:rPr>
                <w:rFonts w:ascii="Calibri" w:hAnsi="Calibri"/>
                <w:color w:val="D6E4E0"/>
                <w:sz w:val="20"/>
              </w:rPr>
              <w:t xml:space="preserve">    Enter your implementation framework into the register, then design the minimum indicator set your body would need to report annually.</w:t>
            </w:r>
          </w:p>
        </w:tc>
      </w:tr>
    </w:tbl>
    <w:p>
      <w:pPr>
        <w:spacing w:after="40"/>
      </w:pPr>
    </w:p>
    <w:p>
      <w:pPr>
        <w:spacing w:before="0" w:after="60"/>
      </w:pPr>
      <w:r>
        <w:rPr>
          <w:rFonts w:ascii="Calibri" w:hAnsi="Calibri"/>
          <w:b/>
          <w:i w:val="0"/>
          <w:color w:val="0D6652"/>
          <w:sz w:val="25"/>
        </w:rPr>
        <w:t>Step 1 — The register entry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86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Ref</w:t>
            </w:r>
          </w:p>
        </w:tc>
        <w:tc>
          <w:tcPr>
            <w:tcW w:type="dxa" w:w="201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Adopted (date and meeting)</w:t>
            </w:r>
          </w:p>
        </w:tc>
        <w:tc>
          <w:tcPr>
            <w:tcW w:type="dxa" w:w="273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 conclusion</w:t>
            </w:r>
          </w:p>
        </w:tc>
        <w:tc>
          <w:tcPr>
            <w:tcW w:type="dxa" w:w="23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Output</w:t>
            </w:r>
          </w:p>
        </w:tc>
        <w:tc>
          <w:tcPr>
            <w:tcW w:type="dxa" w:w="201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Owner (post)</w:t>
            </w:r>
          </w:p>
        </w:tc>
        <w:tc>
          <w:tcPr>
            <w:tcW w:type="dxa" w:w="12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Deadline</w:t>
            </w:r>
          </w:p>
        </w:tc>
        <w:tc>
          <w:tcPr>
            <w:tcW w:type="dxa" w:w="216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Indicator</w:t>
            </w:r>
          </w:p>
        </w:tc>
        <w:tc>
          <w:tcPr>
            <w:tcW w:type="dxa" w:w="158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187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Last updated / by</w:t>
            </w:r>
          </w:p>
        </w:tc>
      </w:tr>
      <w:tr>
        <w:trPr>
          <w:trHeight w:val="1584"/>
        </w:trPr>
        <w:tc>
          <w:tcPr>
            <w:tcW w:type="dxa" w:w="864"/>
          </w:tcPr>
          <w:p/>
        </w:tc>
        <w:tc>
          <w:tcPr>
            <w:tcW w:type="dxa" w:w="2016"/>
          </w:tcPr>
          <w:p/>
        </w:tc>
        <w:tc>
          <w:tcPr>
            <w:tcW w:type="dxa" w:w="2736"/>
          </w:tcPr>
          <w:p/>
        </w:tc>
        <w:tc>
          <w:tcPr>
            <w:tcW w:type="dxa" w:w="2304"/>
          </w:tcPr>
          <w:p/>
        </w:tc>
        <w:tc>
          <w:tcPr>
            <w:tcW w:type="dxa" w:w="2016"/>
          </w:tcPr>
          <w:p/>
        </w:tc>
        <w:tc>
          <w:tcPr>
            <w:tcW w:type="dxa" w:w="1296"/>
          </w:tcPr>
          <w:p/>
        </w:tc>
        <w:tc>
          <w:tcPr>
            <w:tcW w:type="dxa" w:w="2160"/>
          </w:tcPr>
          <w:p/>
        </w:tc>
        <w:tc>
          <w:tcPr>
            <w:tcW w:type="dxa" w:w="1584"/>
          </w:tcPr>
          <w:p/>
        </w:tc>
        <w:tc>
          <w:tcPr>
            <w:tcW w:type="dxa" w:w="1872"/>
          </w:tcPr>
          <w:p/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 w:val="0"/>
          <w:i/>
          <w:color w:val="E72F1F"/>
          <w:sz w:val="20"/>
        </w:rPr>
        <w:t>Status values — use only these: not yet due  ·  on track  ·  delayed, new date agreed  ·  delayed, no new date  ·  blocked, reason recorded  ·  closed, delivered  ·  closed, superseded</w:t>
      </w:r>
    </w:p>
    <w:p>
      <w:pPr>
        <w:spacing w:before="0" w:after="60"/>
      </w:pPr>
      <w:r>
        <w:rPr>
          <w:rFonts w:ascii="Calibri" w:hAnsi="Calibri"/>
          <w:b/>
          <w:i w:val="0"/>
          <w:color w:val="0D6652"/>
          <w:sz w:val="25"/>
        </w:rPr>
        <w:t>Step 2 — The pre-meeting question</w:t>
      </w:r>
    </w:p>
    <w:p>
      <w:pPr>
        <w:spacing w:before="0" w:after="60"/>
      </w:pPr>
      <w:r>
        <w:rPr>
          <w:rFonts w:ascii="Calibri" w:hAnsi="Calibri"/>
          <w:b w:val="0"/>
          <w:i/>
          <w:color w:val="595959"/>
          <w:sz w:val="20"/>
        </w:rPr>
        <w:t>Write, in one sentence, the question the secretariat would put to the owner a week before the meeting. The owner must be able to answer it in one line.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right w:val="none" w:sz="0"/>
          <w:insideV w:val="none" w:sz="0"/>
          <w:bottom w:val="single" w:sz="4" w:color="BFBFBF"/>
          <w:insideH w:val="single" w:sz="4" w:color="BFBFBF"/>
        </w:tblBorders>
      </w:tblPr>
      <w:tblGrid>
        <w:gridCol w:w="13680"/>
      </w:tblGrid>
      <w:tr>
        <w:trPr>
          <w:trHeight w:val="432"/>
        </w:trPr>
        <w:tc>
          <w:tcPr>
            <w:tcW w:type="dxa" w:w="14400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14400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80" w:after="60"/>
      </w:pPr>
      <w:r>
        <w:rPr>
          <w:rFonts w:ascii="Calibri" w:hAnsi="Calibri"/>
          <w:b/>
          <w:i w:val="0"/>
          <w:color w:val="0D6652"/>
          <w:sz w:val="25"/>
        </w:rPr>
        <w:t>Step 3 — Four indicators</w:t>
      </w:r>
    </w:p>
    <w:p>
      <w:pPr>
        <w:spacing w:before="0" w:after="60"/>
      </w:pPr>
      <w:r>
        <w:rPr>
          <w:rFonts w:ascii="Calibri" w:hAnsi="Calibri"/>
          <w:b w:val="0"/>
          <w:i/>
          <w:color w:val="595959"/>
          <w:sz w:val="20"/>
        </w:rPr>
        <w:t>At least one process, one output, and one gender or inclusion indicator.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5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172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446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Indicator</w:t>
            </w:r>
          </w:p>
        </w:tc>
        <w:tc>
          <w:tcPr>
            <w:tcW w:type="dxa" w:w="316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Source document</w:t>
            </w:r>
          </w:p>
        </w:tc>
        <w:tc>
          <w:tcPr>
            <w:tcW w:type="dxa" w:w="273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Who collects it</w:t>
            </w:r>
          </w:p>
        </w:tc>
        <w:tc>
          <w:tcPr>
            <w:tcW w:type="dxa" w:w="144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How often</w:t>
            </w:r>
          </w:p>
        </w:tc>
      </w:tr>
      <w:tr>
        <w:trPr>
          <w:trHeight w:val="720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4464"/>
          </w:tcPr>
          <w:p/>
        </w:tc>
        <w:tc>
          <w:tcPr>
            <w:tcW w:type="dxa" w:w="3168"/>
          </w:tcPr>
          <w:p/>
        </w:tc>
        <w:tc>
          <w:tcPr>
            <w:tcW w:type="dxa" w:w="2736"/>
          </w:tcPr>
          <w:p/>
        </w:tc>
        <w:tc>
          <w:tcPr>
            <w:tcW w:type="dxa" w:w="1440"/>
          </w:tcPr>
          <w:p/>
        </w:tc>
      </w:tr>
      <w:tr>
        <w:trPr>
          <w:trHeight w:val="720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4464"/>
          </w:tcPr>
          <w:p/>
        </w:tc>
        <w:tc>
          <w:tcPr>
            <w:tcW w:type="dxa" w:w="3168"/>
          </w:tcPr>
          <w:p/>
        </w:tc>
        <w:tc>
          <w:tcPr>
            <w:tcW w:type="dxa" w:w="2736"/>
          </w:tcPr>
          <w:p/>
        </w:tc>
        <w:tc>
          <w:tcPr>
            <w:tcW w:type="dxa" w:w="1440"/>
          </w:tcPr>
          <w:p/>
        </w:tc>
      </w:tr>
      <w:tr>
        <w:trPr>
          <w:trHeight w:val="720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4464"/>
          </w:tcPr>
          <w:p/>
        </w:tc>
        <w:tc>
          <w:tcPr>
            <w:tcW w:type="dxa" w:w="3168"/>
          </w:tcPr>
          <w:p/>
        </w:tc>
        <w:tc>
          <w:tcPr>
            <w:tcW w:type="dxa" w:w="2736"/>
          </w:tcPr>
          <w:p/>
        </w:tc>
        <w:tc>
          <w:tcPr>
            <w:tcW w:type="dxa" w:w="1440"/>
          </w:tcPr>
          <w:p/>
        </w:tc>
      </w:tr>
      <w:tr>
        <w:trPr>
          <w:trHeight w:val="720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728"/>
          </w:tcPr>
          <w:p/>
        </w:tc>
        <w:tc>
          <w:tcPr>
            <w:tcW w:type="dxa" w:w="4464"/>
          </w:tcPr>
          <w:p/>
        </w:tc>
        <w:tc>
          <w:tcPr>
            <w:tcW w:type="dxa" w:w="3168"/>
          </w:tcPr>
          <w:p/>
        </w:tc>
        <w:tc>
          <w:tcPr>
            <w:tcW w:type="dxa" w:w="2736"/>
          </w:tcPr>
          <w:p/>
        </w:tc>
        <w:tc>
          <w:tcPr>
            <w:tcW w:type="dxa" w:w="1440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5"/>
        </w:rPr>
        <w:t>Step 4 — The uncomfortable one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576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Which of your four would you least like to report honestly?</w:t>
            </w:r>
          </w:p>
        </w:tc>
        <w:tc>
          <w:tcPr>
            <w:tcW w:type="dxa" w:w="201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Did you keep it?</w:t>
            </w:r>
          </w:p>
        </w:tc>
        <w:tc>
          <w:tcPr>
            <w:tcW w:type="dxa" w:w="619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Why / why not</w:t>
            </w:r>
          </w:p>
        </w:tc>
      </w:tr>
      <w:tr>
        <w:trPr>
          <w:trHeight w:val="1008"/>
        </w:trPr>
        <w:tc>
          <w:tcPr>
            <w:tcW w:type="dxa" w:w="5760"/>
          </w:tcPr>
          <w:p/>
        </w:tc>
        <w:tc>
          <w:tcPr>
            <w:tcW w:type="dxa" w:w="201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 Yes   □ No</w:t>
            </w:r>
          </w:p>
        </w:tc>
        <w:tc>
          <w:tcPr>
            <w:tcW w:type="dxa" w:w="6192"/>
          </w:tcPr>
          <w:p/>
        </w:tc>
      </w:tr>
    </w:tbl>
    <w:p>
      <w:pPr>
        <w:spacing w:after="40"/>
      </w:pPr>
    </w:p>
    <w:p>
      <w:pPr>
        <w:spacing w:before="40" w:after="80"/>
      </w:pPr>
      <w:r>
        <w:rPr>
          <w:rFonts w:ascii="Calibri" w:hAnsi="Calibri"/>
          <w:b/>
          <w:i/>
          <w:color w:val="E72F1F"/>
          <w:sz w:val="21"/>
        </w:rPr>
        <w:t>An indicator that can never look bad is not measuring anything.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A3519987  ·  Handout 8.1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A3519987   |   Strengthening Tripartite Social Dialogue Institutions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