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595959"/>
          <w:sz w:val="18"/>
        </w:rPr>
        <w:t>PARTICIPANT HANDOUT 1</w:t>
      </w:r>
    </w:p>
    <w:p>
      <w:pPr>
        <w:spacing w:before="0" w:after="60"/>
      </w:pPr>
      <w:r>
        <w:rPr>
          <w:rFonts w:ascii="Calibri" w:hAnsi="Calibri"/>
          <w:b/>
          <w:i w:val="0"/>
          <w:color w:val="0E2841"/>
          <w:sz w:val="32"/>
        </w:rPr>
        <w:t>Self-assessment and your outcomes</w:t>
      </w:r>
    </w:p>
    <w:p>
      <w:pPr>
        <w:spacing w:before="0" w:after="200"/>
      </w:pPr>
      <w:r>
        <w:rPr>
          <w:rFonts w:ascii="Calibri" w:hAnsi="Calibri"/>
          <w:b/>
          <w:i w:val="0"/>
          <w:color w:val="0D6652"/>
          <w:sz w:val="20"/>
        </w:rPr>
        <w:t>Session 1 — Day one, 09:00–10:30   ·   Individually</w:t>
      </w:r>
    </w:p>
    <w:p>
      <w:pPr>
        <w:spacing w:before="0" w:after="60"/>
      </w:pPr>
      <w:r>
        <w:rPr>
          <w:rFonts w:ascii="Calibri" w:hAnsi="Calibri"/>
          <w:b/>
          <w:i w:val="0"/>
          <w:color w:val="0D6652"/>
          <w:sz w:val="28"/>
        </w:rPr>
        <w:t>Part 1 — Secretariat competencies</w:t>
      </w:r>
    </w:p>
    <w:p>
      <w:pPr>
        <w:spacing w:before="0" w:after="120"/>
      </w:pPr>
      <w:r>
        <w:rPr>
          <w:rFonts w:ascii="Calibri" w:hAnsi="Calibri"/>
          <w:b w:val="0"/>
          <w:i/>
          <w:color w:val="595959"/>
          <w:sz w:val="20"/>
        </w:rPr>
        <w:t>For your own use. Nobody collects this. Mark where you are now, honestly — the second column tells you which modules to pay most attention to.</w:t>
      </w:r>
    </w:p>
    <w:tbl>
      <w:tblPr>
        <w:tblStyle w:val="TableGrid"/>
        <w:tblW w:type="auto" w:w="0"/>
        <w:jc w:val="left"/>
        <w:tblLook w:firstColumn="1" w:firstRow="1" w:lastColumn="0" w:lastRow="0" w:noHBand="0" w:noVBand="1" w:val="04A0"/>
      </w:tblPr>
      <w:tblGrid>
        <w:gridCol w:w="2016"/>
        <w:gridCol w:w="2016"/>
        <w:gridCol w:w="2016"/>
        <w:gridCol w:w="2016"/>
        <w:gridCol w:w="2016"/>
      </w:tblGrid>
      <w:tr>
        <w:tc>
          <w:tcPr>
            <w:tcW w:type="dxa" w:w="4176"/>
            <w:shd w:val="clear" w:color="auto" w:fill="0D6652"/>
          </w:tcPr>
          <w:p>
            <w:pPr>
              <w:spacing w:before="20" w:after="40"/>
            </w:pPr>
            <w:r>
              <w:rPr>
                <w:rFonts w:ascii="Calibri" w:hAnsi="Calibri"/>
                <w:b/>
                <w:i w:val="0"/>
                <w:color w:val="FFFFFF"/>
                <w:sz w:val="19"/>
              </w:rPr>
              <w:t>Competency</w:t>
            </w:r>
          </w:p>
        </w:tc>
        <w:tc>
          <w:tcPr>
            <w:tcW w:type="dxa" w:w="1152"/>
            <w:shd w:val="clear" w:color="auto" w:fill="0D6652"/>
          </w:tcPr>
          <w:p>
            <w:pPr>
              <w:spacing w:before="20" w:after="40"/>
            </w:pPr>
            <w:r>
              <w:rPr>
                <w:rFonts w:ascii="Calibri" w:hAnsi="Calibri"/>
                <w:b/>
                <w:i w:val="0"/>
                <w:color w:val="FFFFFF"/>
                <w:sz w:val="19"/>
              </w:rPr>
              <w:t>Not yet</w:t>
            </w:r>
          </w:p>
        </w:tc>
        <w:tc>
          <w:tcPr>
            <w:tcW w:type="dxa" w:w="1296"/>
            <w:shd w:val="clear" w:color="auto" w:fill="0D6652"/>
          </w:tcPr>
          <w:p>
            <w:pPr>
              <w:spacing w:before="20" w:after="40"/>
            </w:pPr>
            <w:r>
              <w:rPr>
                <w:rFonts w:ascii="Calibri" w:hAnsi="Calibri"/>
                <w:b/>
                <w:i w:val="0"/>
                <w:color w:val="FFFFFF"/>
                <w:sz w:val="19"/>
              </w:rPr>
              <w:t>Developing</w:t>
            </w:r>
          </w:p>
        </w:tc>
        <w:tc>
          <w:tcPr>
            <w:tcW w:type="dxa" w:w="1296"/>
            <w:shd w:val="clear" w:color="auto" w:fill="0D6652"/>
          </w:tcPr>
          <w:p>
            <w:pPr>
              <w:spacing w:before="20" w:after="40"/>
            </w:pPr>
            <w:r>
              <w:rPr>
                <w:rFonts w:ascii="Calibri" w:hAnsi="Calibri"/>
                <w:b/>
                <w:i w:val="0"/>
                <w:color w:val="FFFFFF"/>
                <w:sz w:val="19"/>
              </w:rPr>
              <w:t>Confident</w:t>
            </w:r>
          </w:p>
        </w:tc>
        <w:tc>
          <w:tcPr>
            <w:tcW w:type="dxa" w:w="1872"/>
            <w:shd w:val="clear" w:color="auto" w:fill="0D6652"/>
          </w:tcPr>
          <w:p>
            <w:pPr>
              <w:spacing w:before="20" w:after="40"/>
            </w:pPr>
            <w:r>
              <w:rPr>
                <w:rFonts w:ascii="Calibri" w:hAnsi="Calibri"/>
                <w:b/>
                <w:i w:val="0"/>
                <w:color w:val="FFFFFF"/>
                <w:sz w:val="19"/>
              </w:rPr>
              <w:t>Covered in</w:t>
            </w:r>
          </w:p>
        </w:tc>
      </w:tr>
      <w:tr>
        <w:trPr>
          <w:trHeight w:val="475"/>
        </w:trPr>
        <w:tc>
          <w:tcPr>
            <w:tcW w:type="dxa" w:w="4176"/>
          </w:tcPr>
          <w:p>
            <w:pPr>
              <w:spacing w:before="20" w:after="20"/>
            </w:pPr>
            <w:r>
              <w:rPr>
                <w:rFonts w:ascii="Calibri" w:hAnsi="Calibri"/>
                <w:b w:val="0"/>
                <w:i w:val="0"/>
                <w:sz w:val="19"/>
              </w:rPr>
              <w:t>Rules of procedure, quorum, notice periods</w:t>
            </w:r>
          </w:p>
        </w:tc>
        <w:tc>
          <w:tcPr>
            <w:tcW w:type="dxa" w:w="1152"/>
          </w:tcPr>
          <w:p/>
        </w:tc>
        <w:tc>
          <w:tcPr>
            <w:tcW w:type="dxa" w:w="1296"/>
          </w:tcPr>
          <w:p/>
        </w:tc>
        <w:tc>
          <w:tcPr>
            <w:tcW w:type="dxa" w:w="1296"/>
          </w:tcPr>
          <w:p/>
        </w:tc>
        <w:tc>
          <w:tcPr>
            <w:tcW w:type="dxa" w:w="1872"/>
          </w:tcPr>
          <w:p>
            <w:pPr>
              <w:spacing w:before="20" w:after="20"/>
            </w:pPr>
            <w:r>
              <w:rPr>
                <w:rFonts w:ascii="Calibri" w:hAnsi="Calibri"/>
                <w:b w:val="0"/>
                <w:i w:val="0"/>
                <w:sz w:val="19"/>
              </w:rPr>
              <w:t>Modules 3 and 6</w:t>
            </w:r>
          </w:p>
        </w:tc>
      </w:tr>
      <w:tr>
        <w:trPr>
          <w:trHeight w:val="475"/>
        </w:trPr>
        <w:tc>
          <w:tcPr>
            <w:tcW w:type="dxa" w:w="4176"/>
            <w:shd w:val="clear" w:color="auto" w:fill="F4F6F5"/>
          </w:tcPr>
          <w:p>
            <w:pPr>
              <w:spacing w:before="20" w:after="20"/>
            </w:pPr>
            <w:r>
              <w:rPr>
                <w:rFonts w:ascii="Calibri" w:hAnsi="Calibri"/>
                <w:b w:val="0"/>
                <w:i w:val="0"/>
                <w:sz w:val="19"/>
              </w:rPr>
              <w:t>Constructing an agenda that states each item’s purpose</w:t>
            </w:r>
          </w:p>
        </w:tc>
        <w:tc>
          <w:tcPr>
            <w:tcW w:type="dxa" w:w="1152"/>
            <w:shd w:val="clear" w:color="auto" w:fill="F4F6F5"/>
          </w:tcPr>
          <w:p/>
        </w:tc>
        <w:tc>
          <w:tcPr>
            <w:tcW w:type="dxa" w:w="1296"/>
            <w:shd w:val="clear" w:color="auto" w:fill="F4F6F5"/>
          </w:tcPr>
          <w:p/>
        </w:tc>
        <w:tc>
          <w:tcPr>
            <w:tcW w:type="dxa" w:w="1296"/>
            <w:shd w:val="clear" w:color="auto" w:fill="F4F6F5"/>
          </w:tcPr>
          <w:p/>
        </w:tc>
        <w:tc>
          <w:tcPr>
            <w:tcW w:type="dxa" w:w="1872"/>
            <w:shd w:val="clear" w:color="auto" w:fill="F4F6F5"/>
          </w:tcPr>
          <w:p>
            <w:pPr>
              <w:spacing w:before="20" w:after="20"/>
            </w:pPr>
            <w:r>
              <w:rPr>
                <w:rFonts w:ascii="Calibri" w:hAnsi="Calibri"/>
                <w:b w:val="0"/>
                <w:i w:val="0"/>
                <w:sz w:val="19"/>
              </w:rPr>
              <w:t>Modules 3 and 6</w:t>
            </w:r>
          </w:p>
        </w:tc>
      </w:tr>
      <w:tr>
        <w:trPr>
          <w:trHeight w:val="475"/>
        </w:trPr>
        <w:tc>
          <w:tcPr>
            <w:tcW w:type="dxa" w:w="4176"/>
          </w:tcPr>
          <w:p>
            <w:pPr>
              <w:spacing w:before="20" w:after="20"/>
            </w:pPr>
            <w:r>
              <w:rPr>
                <w:rFonts w:ascii="Calibri" w:hAnsi="Calibri"/>
                <w:b w:val="0"/>
                <w:i w:val="0"/>
                <w:sz w:val="19"/>
              </w:rPr>
              <w:t>Drafting minutes as decisions and actions</w:t>
            </w:r>
          </w:p>
        </w:tc>
        <w:tc>
          <w:tcPr>
            <w:tcW w:type="dxa" w:w="1152"/>
          </w:tcPr>
          <w:p/>
        </w:tc>
        <w:tc>
          <w:tcPr>
            <w:tcW w:type="dxa" w:w="1296"/>
          </w:tcPr>
          <w:p/>
        </w:tc>
        <w:tc>
          <w:tcPr>
            <w:tcW w:type="dxa" w:w="1296"/>
          </w:tcPr>
          <w:p/>
        </w:tc>
        <w:tc>
          <w:tcPr>
            <w:tcW w:type="dxa" w:w="1872"/>
          </w:tcPr>
          <w:p>
            <w:pPr>
              <w:spacing w:before="20" w:after="20"/>
            </w:pPr>
            <w:r>
              <w:rPr>
                <w:rFonts w:ascii="Calibri" w:hAnsi="Calibri"/>
                <w:b w:val="0"/>
                <w:i w:val="0"/>
                <w:sz w:val="19"/>
              </w:rPr>
              <w:t>Module 4</w:t>
            </w:r>
          </w:p>
        </w:tc>
      </w:tr>
      <w:tr>
        <w:trPr>
          <w:trHeight w:val="475"/>
        </w:trPr>
        <w:tc>
          <w:tcPr>
            <w:tcW w:type="dxa" w:w="4176"/>
            <w:shd w:val="clear" w:color="auto" w:fill="F4F6F5"/>
          </w:tcPr>
          <w:p>
            <w:pPr>
              <w:spacing w:before="20" w:after="20"/>
            </w:pPr>
            <w:r>
              <w:rPr>
                <w:rFonts w:ascii="Calibri" w:hAnsi="Calibri"/>
                <w:b w:val="0"/>
                <w:i w:val="0"/>
                <w:sz w:val="19"/>
              </w:rPr>
              <w:t>Producing an action sheet and tracking it</w:t>
            </w:r>
          </w:p>
        </w:tc>
        <w:tc>
          <w:tcPr>
            <w:tcW w:type="dxa" w:w="1152"/>
            <w:shd w:val="clear" w:color="auto" w:fill="F4F6F5"/>
          </w:tcPr>
          <w:p/>
        </w:tc>
        <w:tc>
          <w:tcPr>
            <w:tcW w:type="dxa" w:w="1296"/>
            <w:shd w:val="clear" w:color="auto" w:fill="F4F6F5"/>
          </w:tcPr>
          <w:p/>
        </w:tc>
        <w:tc>
          <w:tcPr>
            <w:tcW w:type="dxa" w:w="1296"/>
            <w:shd w:val="clear" w:color="auto" w:fill="F4F6F5"/>
          </w:tcPr>
          <w:p/>
        </w:tc>
        <w:tc>
          <w:tcPr>
            <w:tcW w:type="dxa" w:w="1872"/>
            <w:shd w:val="clear" w:color="auto" w:fill="F4F6F5"/>
          </w:tcPr>
          <w:p>
            <w:pPr>
              <w:spacing w:before="20" w:after="20"/>
            </w:pPr>
            <w:r>
              <w:rPr>
                <w:rFonts w:ascii="Calibri" w:hAnsi="Calibri"/>
                <w:b w:val="0"/>
                <w:i w:val="0"/>
                <w:sz w:val="19"/>
              </w:rPr>
              <w:t>Modules 4 and 9</w:t>
            </w:r>
          </w:p>
        </w:tc>
      </w:tr>
      <w:tr>
        <w:trPr>
          <w:trHeight w:val="475"/>
        </w:trPr>
        <w:tc>
          <w:tcPr>
            <w:tcW w:type="dxa" w:w="4176"/>
          </w:tcPr>
          <w:p>
            <w:pPr>
              <w:spacing w:before="20" w:after="20"/>
            </w:pPr>
            <w:r>
              <w:rPr>
                <w:rFonts w:ascii="Calibri" w:hAnsi="Calibri"/>
                <w:b w:val="0"/>
                <w:i w:val="0"/>
                <w:sz w:val="19"/>
              </w:rPr>
              <w:t>Reading and vetting evidence</w:t>
            </w:r>
          </w:p>
        </w:tc>
        <w:tc>
          <w:tcPr>
            <w:tcW w:type="dxa" w:w="1152"/>
          </w:tcPr>
          <w:p/>
        </w:tc>
        <w:tc>
          <w:tcPr>
            <w:tcW w:type="dxa" w:w="1296"/>
          </w:tcPr>
          <w:p/>
        </w:tc>
        <w:tc>
          <w:tcPr>
            <w:tcW w:type="dxa" w:w="1296"/>
          </w:tcPr>
          <w:p/>
        </w:tc>
        <w:tc>
          <w:tcPr>
            <w:tcW w:type="dxa" w:w="1872"/>
          </w:tcPr>
          <w:p>
            <w:pPr>
              <w:spacing w:before="20" w:after="20"/>
            </w:pPr>
            <w:r>
              <w:rPr>
                <w:rFonts w:ascii="Calibri" w:hAnsi="Calibri"/>
                <w:b w:val="0"/>
                <w:i w:val="0"/>
                <w:sz w:val="19"/>
              </w:rPr>
              <w:t>Module 8</w:t>
            </w:r>
          </w:p>
        </w:tc>
      </w:tr>
      <w:tr>
        <w:trPr>
          <w:trHeight w:val="475"/>
        </w:trPr>
        <w:tc>
          <w:tcPr>
            <w:tcW w:type="dxa" w:w="4176"/>
            <w:shd w:val="clear" w:color="auto" w:fill="F4F6F5"/>
          </w:tcPr>
          <w:p>
            <w:pPr>
              <w:spacing w:before="20" w:after="20"/>
            </w:pPr>
            <w:r>
              <w:rPr>
                <w:rFonts w:ascii="Calibri" w:hAnsi="Calibri"/>
                <w:b w:val="0"/>
                <w:i w:val="0"/>
                <w:sz w:val="19"/>
              </w:rPr>
              <w:t>Drafting a neutral briefing note</w:t>
            </w:r>
          </w:p>
        </w:tc>
        <w:tc>
          <w:tcPr>
            <w:tcW w:type="dxa" w:w="1152"/>
            <w:shd w:val="clear" w:color="auto" w:fill="F4F6F5"/>
          </w:tcPr>
          <w:p/>
        </w:tc>
        <w:tc>
          <w:tcPr>
            <w:tcW w:type="dxa" w:w="1296"/>
            <w:shd w:val="clear" w:color="auto" w:fill="F4F6F5"/>
          </w:tcPr>
          <w:p/>
        </w:tc>
        <w:tc>
          <w:tcPr>
            <w:tcW w:type="dxa" w:w="1296"/>
            <w:shd w:val="clear" w:color="auto" w:fill="F4F6F5"/>
          </w:tcPr>
          <w:p/>
        </w:tc>
        <w:tc>
          <w:tcPr>
            <w:tcW w:type="dxa" w:w="1872"/>
            <w:shd w:val="clear" w:color="auto" w:fill="F4F6F5"/>
          </w:tcPr>
          <w:p>
            <w:pPr>
              <w:spacing w:before="20" w:after="20"/>
            </w:pPr>
            <w:r>
              <w:rPr>
                <w:rFonts w:ascii="Calibri" w:hAnsi="Calibri"/>
                <w:b w:val="0"/>
                <w:i w:val="0"/>
                <w:sz w:val="19"/>
              </w:rPr>
              <w:t>Modules 5 and 8</w:t>
            </w:r>
          </w:p>
        </w:tc>
      </w:tr>
      <w:tr>
        <w:trPr>
          <w:trHeight w:val="475"/>
        </w:trPr>
        <w:tc>
          <w:tcPr>
            <w:tcW w:type="dxa" w:w="4176"/>
          </w:tcPr>
          <w:p>
            <w:pPr>
              <w:spacing w:before="20" w:after="20"/>
            </w:pPr>
            <w:r>
              <w:rPr>
                <w:rFonts w:ascii="Calibri" w:hAnsi="Calibri"/>
                <w:b w:val="0"/>
                <w:i w:val="0"/>
                <w:sz w:val="19"/>
              </w:rPr>
              <w:t>Preparing and defending a budget</w:t>
            </w:r>
          </w:p>
        </w:tc>
        <w:tc>
          <w:tcPr>
            <w:tcW w:type="dxa" w:w="1152"/>
          </w:tcPr>
          <w:p/>
        </w:tc>
        <w:tc>
          <w:tcPr>
            <w:tcW w:type="dxa" w:w="1296"/>
          </w:tcPr>
          <w:p/>
        </w:tc>
        <w:tc>
          <w:tcPr>
            <w:tcW w:type="dxa" w:w="1296"/>
          </w:tcPr>
          <w:p/>
        </w:tc>
        <w:tc>
          <w:tcPr>
            <w:tcW w:type="dxa" w:w="1872"/>
          </w:tcPr>
          <w:p>
            <w:pPr>
              <w:spacing w:before="20" w:after="20"/>
            </w:pPr>
            <w:r>
              <w:rPr>
                <w:rFonts w:ascii="Calibri" w:hAnsi="Calibri"/>
                <w:b w:val="0"/>
                <w:i w:val="0"/>
                <w:sz w:val="19"/>
              </w:rPr>
              <w:t>Module 7</w:t>
            </w:r>
          </w:p>
        </w:tc>
      </w:tr>
      <w:tr>
        <w:trPr>
          <w:trHeight w:val="475"/>
        </w:trPr>
        <w:tc>
          <w:tcPr>
            <w:tcW w:type="dxa" w:w="4176"/>
            <w:shd w:val="clear" w:color="auto" w:fill="F4F6F5"/>
          </w:tcPr>
          <w:p>
            <w:pPr>
              <w:spacing w:before="20" w:after="20"/>
            </w:pPr>
            <w:r>
              <w:rPr>
                <w:rFonts w:ascii="Calibri" w:hAnsi="Calibri"/>
                <w:b w:val="0"/>
                <w:i w:val="0"/>
                <w:sz w:val="19"/>
              </w:rPr>
              <w:t>Handling a private approach from one party</w:t>
            </w:r>
          </w:p>
        </w:tc>
        <w:tc>
          <w:tcPr>
            <w:tcW w:type="dxa" w:w="1152"/>
            <w:shd w:val="clear" w:color="auto" w:fill="F4F6F5"/>
          </w:tcPr>
          <w:p/>
        </w:tc>
        <w:tc>
          <w:tcPr>
            <w:tcW w:type="dxa" w:w="1296"/>
            <w:shd w:val="clear" w:color="auto" w:fill="F4F6F5"/>
          </w:tcPr>
          <w:p/>
        </w:tc>
        <w:tc>
          <w:tcPr>
            <w:tcW w:type="dxa" w:w="1296"/>
            <w:shd w:val="clear" w:color="auto" w:fill="F4F6F5"/>
          </w:tcPr>
          <w:p/>
        </w:tc>
        <w:tc>
          <w:tcPr>
            <w:tcW w:type="dxa" w:w="1872"/>
            <w:shd w:val="clear" w:color="auto" w:fill="F4F6F5"/>
          </w:tcPr>
          <w:p>
            <w:pPr>
              <w:spacing w:before="20" w:after="20"/>
            </w:pPr>
            <w:r>
              <w:rPr>
                <w:rFonts w:ascii="Calibri" w:hAnsi="Calibri"/>
                <w:b w:val="0"/>
                <w:i w:val="0"/>
                <w:sz w:val="19"/>
              </w:rPr>
              <w:t>Modules 2 and 6</w:t>
            </w:r>
          </w:p>
        </w:tc>
      </w:tr>
      <w:tr>
        <w:trPr>
          <w:trHeight w:val="475"/>
        </w:trPr>
        <w:tc>
          <w:tcPr>
            <w:tcW w:type="dxa" w:w="4176"/>
          </w:tcPr>
          <w:p>
            <w:pPr>
              <w:spacing w:before="20" w:after="20"/>
            </w:pPr>
            <w:r>
              <w:rPr>
                <w:rFonts w:ascii="Calibri" w:hAnsi="Calibri"/>
                <w:b w:val="0"/>
                <w:i w:val="0"/>
                <w:sz w:val="19"/>
              </w:rPr>
              <w:t>Reframing a charged statement</w:t>
            </w:r>
          </w:p>
        </w:tc>
        <w:tc>
          <w:tcPr>
            <w:tcW w:type="dxa" w:w="1152"/>
          </w:tcPr>
          <w:p/>
        </w:tc>
        <w:tc>
          <w:tcPr>
            <w:tcW w:type="dxa" w:w="1296"/>
          </w:tcPr>
          <w:p/>
        </w:tc>
        <w:tc>
          <w:tcPr>
            <w:tcW w:type="dxa" w:w="1296"/>
          </w:tcPr>
          <w:p/>
        </w:tc>
        <w:tc>
          <w:tcPr>
            <w:tcW w:type="dxa" w:w="1872"/>
          </w:tcPr>
          <w:p>
            <w:pPr>
              <w:spacing w:before="20" w:after="20"/>
            </w:pPr>
            <w:r>
              <w:rPr>
                <w:rFonts w:ascii="Calibri" w:hAnsi="Calibri"/>
                <w:b w:val="0"/>
                <w:i w:val="0"/>
                <w:sz w:val="19"/>
              </w:rPr>
              <w:t>Module 5</w:t>
            </w:r>
          </w:p>
        </w:tc>
      </w:tr>
      <w:tr>
        <w:trPr>
          <w:trHeight w:val="475"/>
        </w:trPr>
        <w:tc>
          <w:tcPr>
            <w:tcW w:type="dxa" w:w="4176"/>
            <w:shd w:val="clear" w:color="auto" w:fill="F4F6F5"/>
          </w:tcPr>
          <w:p>
            <w:pPr>
              <w:spacing w:before="20" w:after="20"/>
            </w:pPr>
            <w:r>
              <w:rPr>
                <w:rFonts w:ascii="Calibri" w:hAnsi="Calibri"/>
                <w:b w:val="0"/>
                <w:i w:val="0"/>
                <w:sz w:val="19"/>
              </w:rPr>
              <w:t>Records, indexing and institutional memory</w:t>
            </w:r>
          </w:p>
        </w:tc>
        <w:tc>
          <w:tcPr>
            <w:tcW w:type="dxa" w:w="1152"/>
            <w:shd w:val="clear" w:color="auto" w:fill="F4F6F5"/>
          </w:tcPr>
          <w:p/>
        </w:tc>
        <w:tc>
          <w:tcPr>
            <w:tcW w:type="dxa" w:w="1296"/>
            <w:shd w:val="clear" w:color="auto" w:fill="F4F6F5"/>
          </w:tcPr>
          <w:p/>
        </w:tc>
        <w:tc>
          <w:tcPr>
            <w:tcW w:type="dxa" w:w="1296"/>
            <w:shd w:val="clear" w:color="auto" w:fill="F4F6F5"/>
          </w:tcPr>
          <w:p/>
        </w:tc>
        <w:tc>
          <w:tcPr>
            <w:tcW w:type="dxa" w:w="1872"/>
            <w:shd w:val="clear" w:color="auto" w:fill="F4F6F5"/>
          </w:tcPr>
          <w:p>
            <w:pPr>
              <w:spacing w:before="20" w:after="20"/>
            </w:pPr>
            <w:r>
              <w:rPr>
                <w:rFonts w:ascii="Calibri" w:hAnsi="Calibri"/>
                <w:b w:val="0"/>
                <w:i w:val="0"/>
                <w:sz w:val="19"/>
              </w:rPr>
              <w:t>Modules 4 and 10</w:t>
            </w:r>
          </w:p>
        </w:tc>
      </w:tr>
    </w:tbl>
    <w:p>
      <w:pPr>
        <w:spacing w:after="40"/>
      </w:pPr>
    </w:p>
    <w:p>
      <w:pPr>
        <w:spacing w:before="200" w:after="60"/>
      </w:pPr>
      <w:r>
        <w:rPr>
          <w:rFonts w:ascii="Calibri" w:hAnsi="Calibri"/>
          <w:b/>
          <w:i w:val="0"/>
          <w:color w:val="0D6652"/>
          <w:sz w:val="28"/>
        </w:rPr>
        <w:t>Part 2 — Your outcomes</w:t>
      </w:r>
    </w:p>
    <w:p>
      <w:pPr>
        <w:spacing w:before="0" w:after="80"/>
      </w:pPr>
      <w:r>
        <w:rPr>
          <w:rFonts w:ascii="Calibri" w:hAnsi="Calibri"/>
          <w:b w:val="0"/>
          <w:i/>
          <w:color w:val="595959"/>
          <w:sz w:val="20"/>
        </w:rPr>
        <w:t>Three things you want to be able to do differently when you return to your institution. Specific to your own job, not to the institution in general. We return to this list on Sunday.</w:t>
      </w:r>
    </w:p>
    <w:tbl>
      <w:tblPr>
        <w:tblStyle w:val="TableGrid"/>
        <w:tblW w:type="auto" w:w="0"/>
        <w:jc w:val="left"/>
        <w:tblLook w:firstColumn="1" w:firstRow="1" w:lastColumn="0" w:lastRow="0" w:noHBand="0" w:noVBand="1" w:val="04A0"/>
      </w:tblPr>
      <w:tblGrid>
        <w:gridCol w:w="5040"/>
        <w:gridCol w:w="5040"/>
      </w:tblGrid>
      <w:tr>
        <w:tc>
          <w:tcPr>
            <w:tcW w:type="dxa" w:w="576"/>
            <w:shd w:val="clear" w:color="auto" w:fill="0D6652"/>
          </w:tcPr>
          <w:p>
            <w:pPr>
              <w:spacing w:before="20" w:after="40"/>
            </w:pPr>
            <w:r>
              <w:rPr>
                <w:rFonts w:ascii="Calibri" w:hAnsi="Calibri"/>
                <w:b/>
                <w:i w:val="0"/>
                <w:color w:val="FFFFFF"/>
                <w:sz w:val="19"/>
              </w:rPr>
            </w:r>
          </w:p>
        </w:tc>
        <w:tc>
          <w:tcPr>
            <w:tcW w:type="dxa" w:w="9216"/>
            <w:shd w:val="clear" w:color="auto" w:fill="0D6652"/>
          </w:tcPr>
          <w:p>
            <w:pPr>
              <w:spacing w:before="20" w:after="40"/>
            </w:pPr>
            <w:r>
              <w:rPr>
                <w:rFonts w:ascii="Calibri" w:hAnsi="Calibri"/>
                <w:b/>
                <w:i w:val="0"/>
                <w:color w:val="FFFFFF"/>
                <w:sz w:val="19"/>
              </w:rPr>
              <w:t>By the end of these three days I want to be able to…</w:t>
            </w:r>
          </w:p>
        </w:tc>
      </w:tr>
      <w:tr>
        <w:trPr>
          <w:trHeight w:val="864"/>
        </w:trPr>
        <w:tc>
          <w:tcPr>
            <w:tcW w:type="dxa" w:w="576"/>
          </w:tcPr>
          <w:p>
            <w:pPr>
              <w:spacing w:before="20" w:after="20"/>
            </w:pPr>
            <w:r>
              <w:rPr>
                <w:rFonts w:ascii="Calibri" w:hAnsi="Calibri"/>
                <w:b w:val="0"/>
                <w:i w:val="0"/>
                <w:sz w:val="19"/>
              </w:rPr>
              <w:t>1</w:t>
            </w:r>
          </w:p>
        </w:tc>
        <w:tc>
          <w:tcPr>
            <w:tcW w:type="dxa" w:w="9216"/>
          </w:tcPr>
          <w:p/>
        </w:tc>
      </w:tr>
      <w:tr>
        <w:trPr>
          <w:trHeight w:val="864"/>
        </w:trPr>
        <w:tc>
          <w:tcPr>
            <w:tcW w:type="dxa" w:w="576"/>
          </w:tcPr>
          <w:p>
            <w:pPr>
              <w:spacing w:before="20" w:after="20"/>
            </w:pPr>
            <w:r>
              <w:rPr>
                <w:rFonts w:ascii="Calibri" w:hAnsi="Calibri"/>
                <w:b w:val="0"/>
                <w:i w:val="0"/>
                <w:sz w:val="19"/>
              </w:rPr>
              <w:t>2</w:t>
            </w:r>
          </w:p>
        </w:tc>
        <w:tc>
          <w:tcPr>
            <w:tcW w:type="dxa" w:w="9216"/>
          </w:tcPr>
          <w:p/>
        </w:tc>
      </w:tr>
      <w:tr>
        <w:trPr>
          <w:trHeight w:val="864"/>
        </w:trPr>
        <w:tc>
          <w:tcPr>
            <w:tcW w:type="dxa" w:w="576"/>
          </w:tcPr>
          <w:p>
            <w:pPr>
              <w:spacing w:before="20" w:after="20"/>
            </w:pPr>
            <w:r>
              <w:rPr>
                <w:rFonts w:ascii="Calibri" w:hAnsi="Calibri"/>
                <w:b w:val="0"/>
                <w:i w:val="0"/>
                <w:sz w:val="19"/>
              </w:rPr>
              <w:t>3</w:t>
            </w:r>
          </w:p>
        </w:tc>
        <w:tc>
          <w:tcPr>
            <w:tcW w:type="dxa" w:w="9216"/>
          </w:tcPr>
          <w:p/>
        </w:tc>
      </w:tr>
    </w:tbl>
    <w:p>
      <w:pPr>
        <w:spacing w:after="40"/>
      </w:pPr>
    </w:p>
    <w:p>
      <w:pPr>
        <w:spacing w:before="200" w:after="60"/>
      </w:pPr>
      <w:r>
        <w:rPr>
          <w:rFonts w:ascii="Calibri" w:hAnsi="Calibri"/>
          <w:b/>
          <w:i w:val="0"/>
          <w:color w:val="0D6652"/>
          <w:sz w:val="28"/>
        </w:rPr>
        <w:t>Part 3 — Running list</w:t>
      </w:r>
    </w:p>
    <w:p>
      <w:pPr>
        <w:spacing w:before="0" w:after="80"/>
      </w:pPr>
      <w:r>
        <w:rPr>
          <w:rFonts w:ascii="Calibri" w:hAnsi="Calibri"/>
          <w:b w:val="0"/>
          <w:i/>
          <w:color w:val="E72F1F"/>
          <w:sz w:val="20"/>
        </w:rPr>
        <w:t>Keep this open for all three days. Every time a module produces something you could adopt, write it here. On Sunday this becomes your 30-day plan — and the people who kept a list arrive with material while everyone else is trying to remember three days.</w:t>
      </w:r>
    </w:p>
    <w:tbl>
      <w:tblPr>
        <w:tblStyle w:val="TableGrid"/>
        <w:tblW w:type="auto" w:w="0"/>
        <w:jc w:val="left"/>
        <w:tblLook w:firstColumn="1" w:firstRow="1" w:lastColumn="0" w:lastRow="0" w:noHBand="0" w:noVBand="1" w:val="04A0"/>
      </w:tblPr>
      <w:tblGrid>
        <w:gridCol w:w="3360"/>
        <w:gridCol w:w="3360"/>
        <w:gridCol w:w="3360"/>
      </w:tblGrid>
      <w:tr>
        <w:tc>
          <w:tcPr>
            <w:tcW w:type="dxa" w:w="1440"/>
            <w:shd w:val="clear" w:color="auto" w:fill="0D6652"/>
          </w:tcPr>
          <w:p>
            <w:pPr>
              <w:spacing w:before="20" w:after="40"/>
            </w:pPr>
            <w:r>
              <w:rPr>
                <w:rFonts w:ascii="Calibri" w:hAnsi="Calibri"/>
                <w:b/>
                <w:i w:val="0"/>
                <w:color w:val="FFFFFF"/>
                <w:sz w:val="19"/>
              </w:rPr>
              <w:t>Module</w:t>
            </w:r>
          </w:p>
        </w:tc>
        <w:tc>
          <w:tcPr>
            <w:tcW w:type="dxa" w:w="6048"/>
            <w:shd w:val="clear" w:color="auto" w:fill="0D6652"/>
          </w:tcPr>
          <w:p>
            <w:pPr>
              <w:spacing w:before="20" w:after="40"/>
            </w:pPr>
            <w:r>
              <w:rPr>
                <w:rFonts w:ascii="Calibri" w:hAnsi="Calibri"/>
                <w:b/>
                <w:i w:val="0"/>
                <w:color w:val="FFFFFF"/>
                <w:sz w:val="19"/>
              </w:rPr>
              <w:t>Something I could adopt</w:t>
            </w:r>
          </w:p>
        </w:tc>
        <w:tc>
          <w:tcPr>
            <w:tcW w:type="dxa" w:w="2304"/>
            <w:shd w:val="clear" w:color="auto" w:fill="0D6652"/>
          </w:tcPr>
          <w:p>
            <w:pPr>
              <w:spacing w:before="20" w:after="40"/>
            </w:pPr>
            <w:r>
              <w:rPr>
                <w:rFonts w:ascii="Calibri" w:hAnsi="Calibri"/>
                <w:b/>
                <w:i w:val="0"/>
                <w:color w:val="FFFFFF"/>
                <w:sz w:val="19"/>
              </w:rPr>
              <w:t>Needs whose agreement?</w:t>
            </w:r>
          </w:p>
        </w:tc>
      </w:tr>
      <w:tr>
        <w:trPr>
          <w:trHeight w:val="475"/>
        </w:trPr>
        <w:tc>
          <w:tcPr>
            <w:tcW w:type="dxa" w:w="1440"/>
          </w:tcPr>
          <w:p/>
        </w:tc>
        <w:tc>
          <w:tcPr>
            <w:tcW w:type="dxa" w:w="6048"/>
          </w:tcPr>
          <w:p/>
        </w:tc>
        <w:tc>
          <w:tcPr>
            <w:tcW w:type="dxa" w:w="2304"/>
          </w:tcPr>
          <w:p/>
        </w:tc>
      </w:tr>
      <w:tr>
        <w:trPr>
          <w:trHeight w:val="475"/>
        </w:trPr>
        <w:tc>
          <w:tcPr>
            <w:tcW w:type="dxa" w:w="1440"/>
            <w:shd w:val="clear" w:color="auto" w:fill="F4F6F5"/>
          </w:tcPr>
          <w:p/>
        </w:tc>
        <w:tc>
          <w:tcPr>
            <w:tcW w:type="dxa" w:w="6048"/>
            <w:shd w:val="clear" w:color="auto" w:fill="F4F6F5"/>
          </w:tcPr>
          <w:p/>
        </w:tc>
        <w:tc>
          <w:tcPr>
            <w:tcW w:type="dxa" w:w="2304"/>
            <w:shd w:val="clear" w:color="auto" w:fill="F4F6F5"/>
          </w:tcPr>
          <w:p/>
        </w:tc>
      </w:tr>
      <w:tr>
        <w:trPr>
          <w:trHeight w:val="475"/>
        </w:trPr>
        <w:tc>
          <w:tcPr>
            <w:tcW w:type="dxa" w:w="1440"/>
          </w:tcPr>
          <w:p/>
        </w:tc>
        <w:tc>
          <w:tcPr>
            <w:tcW w:type="dxa" w:w="6048"/>
          </w:tcPr>
          <w:p/>
        </w:tc>
        <w:tc>
          <w:tcPr>
            <w:tcW w:type="dxa" w:w="2304"/>
          </w:tcPr>
          <w:p/>
        </w:tc>
      </w:tr>
      <w:tr>
        <w:trPr>
          <w:trHeight w:val="475"/>
        </w:trPr>
        <w:tc>
          <w:tcPr>
            <w:tcW w:type="dxa" w:w="1440"/>
            <w:shd w:val="clear" w:color="auto" w:fill="F4F6F5"/>
          </w:tcPr>
          <w:p/>
        </w:tc>
        <w:tc>
          <w:tcPr>
            <w:tcW w:type="dxa" w:w="6048"/>
            <w:shd w:val="clear" w:color="auto" w:fill="F4F6F5"/>
          </w:tcPr>
          <w:p/>
        </w:tc>
        <w:tc>
          <w:tcPr>
            <w:tcW w:type="dxa" w:w="2304"/>
            <w:shd w:val="clear" w:color="auto" w:fill="F4F6F5"/>
          </w:tcPr>
          <w:p/>
        </w:tc>
      </w:tr>
      <w:tr>
        <w:trPr>
          <w:trHeight w:val="475"/>
        </w:trPr>
        <w:tc>
          <w:tcPr>
            <w:tcW w:type="dxa" w:w="1440"/>
          </w:tcPr>
          <w:p/>
        </w:tc>
        <w:tc>
          <w:tcPr>
            <w:tcW w:type="dxa" w:w="6048"/>
          </w:tcPr>
          <w:p/>
        </w:tc>
        <w:tc>
          <w:tcPr>
            <w:tcW w:type="dxa" w:w="2304"/>
          </w:tcPr>
          <w:p/>
        </w:tc>
      </w:tr>
      <w:tr>
        <w:trPr>
          <w:trHeight w:val="475"/>
        </w:trPr>
        <w:tc>
          <w:tcPr>
            <w:tcW w:type="dxa" w:w="1440"/>
            <w:shd w:val="clear" w:color="auto" w:fill="F4F6F5"/>
          </w:tcPr>
          <w:p/>
        </w:tc>
        <w:tc>
          <w:tcPr>
            <w:tcW w:type="dxa" w:w="6048"/>
            <w:shd w:val="clear" w:color="auto" w:fill="F4F6F5"/>
          </w:tcPr>
          <w:p/>
        </w:tc>
        <w:tc>
          <w:tcPr>
            <w:tcW w:type="dxa" w:w="2304"/>
            <w:shd w:val="clear" w:color="auto" w:fill="F4F6F5"/>
          </w:tcPr>
          <w:p/>
        </w:tc>
      </w:tr>
      <w:tr>
        <w:trPr>
          <w:trHeight w:val="475"/>
        </w:trPr>
        <w:tc>
          <w:tcPr>
            <w:tcW w:type="dxa" w:w="1440"/>
          </w:tcPr>
          <w:p/>
        </w:tc>
        <w:tc>
          <w:tcPr>
            <w:tcW w:type="dxa" w:w="6048"/>
          </w:tcPr>
          <w:p/>
        </w:tc>
        <w:tc>
          <w:tcPr>
            <w:tcW w:type="dxa" w:w="2304"/>
          </w:tcPr>
          <w:p/>
        </w:tc>
      </w:tr>
      <w:tr>
        <w:trPr>
          <w:trHeight w:val="475"/>
        </w:trPr>
        <w:tc>
          <w:tcPr>
            <w:tcW w:type="dxa" w:w="1440"/>
            <w:shd w:val="clear" w:color="auto" w:fill="F4F6F5"/>
          </w:tcPr>
          <w:p/>
        </w:tc>
        <w:tc>
          <w:tcPr>
            <w:tcW w:type="dxa" w:w="6048"/>
            <w:shd w:val="clear" w:color="auto" w:fill="F4F6F5"/>
          </w:tcPr>
          <w:p/>
        </w:tc>
        <w:tc>
          <w:tcPr>
            <w:tcW w:type="dxa" w:w="2304"/>
            <w:shd w:val="clear" w:color="auto" w:fill="F4F6F5"/>
          </w:tcPr>
          <w:p/>
        </w:tc>
      </w:tr>
      <w:tr>
        <w:trPr>
          <w:trHeight w:val="475"/>
        </w:trPr>
        <w:tc>
          <w:tcPr>
            <w:tcW w:type="dxa" w:w="1440"/>
          </w:tcPr>
          <w:p/>
        </w:tc>
        <w:tc>
          <w:tcPr>
            <w:tcW w:type="dxa" w:w="6048"/>
          </w:tcPr>
          <w:p/>
        </w:tc>
        <w:tc>
          <w:tcPr>
            <w:tcW w:type="dxa" w:w="2304"/>
          </w:tcPr>
          <w:p/>
        </w:tc>
      </w:tr>
      <w:tr>
        <w:trPr>
          <w:trHeight w:val="475"/>
        </w:trPr>
        <w:tc>
          <w:tcPr>
            <w:tcW w:type="dxa" w:w="1440"/>
            <w:shd w:val="clear" w:color="auto" w:fill="F4F6F5"/>
          </w:tcPr>
          <w:p/>
        </w:tc>
        <w:tc>
          <w:tcPr>
            <w:tcW w:type="dxa" w:w="6048"/>
            <w:shd w:val="clear" w:color="auto" w:fill="F4F6F5"/>
          </w:tcPr>
          <w:p/>
        </w:tc>
        <w:tc>
          <w:tcPr>
            <w:tcW w:type="dxa" w:w="2304"/>
            <w:shd w:val="clear" w:color="auto" w:fill="F4F6F5"/>
          </w:tcPr>
          <w:p/>
        </w:tc>
      </w:tr>
    </w:tbl>
    <w:p>
      <w:pPr>
        <w:spacing w:after="40"/>
      </w:pP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6"/>
      </w:rPr>
      <w:t>A3519988  ·  Handout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595959"/>
        <w:sz w:val="16"/>
      </w:rPr>
      <w:t>International Training Centre of the ILO   |   A3519988   |   Strengthening the Capacities of the Secretariats of TSDIs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