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i w:val="0"/>
          <w:color w:val="595959"/>
          <w:sz w:val="18"/>
        </w:rPr>
        <w:t>PARTICIPANT HANDOUT 2.1</w:t>
      </w:r>
    </w:p>
    <w:p>
      <w:pPr>
        <w:spacing w:before="0" w:after="60"/>
      </w:pPr>
      <w:r>
        <w:rPr>
          <w:rFonts w:ascii="Calibri" w:hAnsi="Calibri"/>
          <w:b/>
          <w:i w:val="0"/>
          <w:color w:val="0E2841"/>
          <w:sz w:val="32"/>
        </w:rPr>
        <w:t>Conduct and ethics scenarios, and the secretariat models comparison</w:t>
      </w:r>
    </w:p>
    <w:p>
      <w:pPr>
        <w:spacing w:before="0" w:after="200"/>
      </w:pPr>
      <w:r>
        <w:rPr>
          <w:rFonts w:ascii="Calibri" w:hAnsi="Calibri"/>
          <w:b/>
          <w:i w:val="0"/>
          <w:color w:val="0D6652"/>
          <w:sz w:val="20"/>
        </w:rPr>
        <w:t>Session 2 — Day one, 11:00–12:30   ·   25 minutes   ·   Four groups, two scenarios each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80"/>
      </w:tblGrid>
      <w:tr>
        <w:tc>
          <w:tcPr>
            <w:tcW w:type="dxa" w:w="10080"/>
            <w:shd w:val="clear" w:color="auto" w:fill="0D6652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TASK</w:t>
            </w:r>
            <w:r>
              <w:rPr>
                <w:rFonts w:ascii="Calibri" w:hAnsi="Calibri"/>
                <w:color w:val="D6E4E0"/>
                <w:sz w:val="20"/>
              </w:rPr>
              <w:t xml:space="preserve">    Decide how you would respond in the moment, then agree the rule — written in advance — that would have removed the judgement from the moment.</w:t>
            </w:r>
          </w:p>
        </w:tc>
      </w:tr>
    </w:tbl>
    <w:p>
      <w:pPr>
        <w:spacing w:after="40"/>
      </w:pPr>
    </w:p>
    <w:p>
      <w:pPr>
        <w:spacing w:before="0" w:after="160"/>
      </w:pPr>
      <w:r>
        <w:rPr>
          <w:rFonts w:ascii="Calibri" w:hAnsi="Calibri"/>
          <w:b w:val="0"/>
          <w:i/>
          <w:color w:val="E72F1F"/>
          <w:sz w:val="20"/>
        </w:rPr>
        <w:t>None of these involves anybody behaving badly. Most involve somebody trying to be helpful.</w:t>
      </w:r>
    </w:p>
    <w:p>
      <w:pPr>
        <w:spacing w:before="140" w:after="60"/>
      </w:pPr>
      <w:r>
        <w:rPr>
          <w:rFonts w:ascii="Calibri" w:hAnsi="Calibri"/>
          <w:b/>
          <w:i w:val="0"/>
          <w:color w:val="0E2841"/>
          <w:sz w:val="23"/>
        </w:rPr>
        <w:t>Scenario 1</w:t>
      </w:r>
    </w:p>
    <w:p>
      <w:pPr>
        <w:spacing w:before="0" w:after="60"/>
      </w:pPr>
      <w:r>
        <w:rPr>
          <w:rFonts w:ascii="Calibri" w:hAnsi="Calibri"/>
          <w:b w:val="0"/>
          <w:i w:val="0"/>
          <w:sz w:val="21"/>
        </w:rPr>
        <w:t>A member asks you to check a figure in their submission before it goes in. You would do the same for any member. Nobody else knows you did it.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168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What you say or do, there and then</w:t>
            </w:r>
          </w:p>
        </w:tc>
        <w:tc>
          <w:tcPr>
            <w:tcW w:type="dxa" w:w="3168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Which party is watching, and what they conclude</w:t>
            </w:r>
          </w:p>
        </w:tc>
        <w:tc>
          <w:tcPr>
            <w:tcW w:type="dxa" w:w="3456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The rule, written in advance (one sentence)</w:t>
            </w:r>
          </w:p>
        </w:tc>
      </w:tr>
      <w:tr>
        <w:trPr>
          <w:trHeight w:val="936"/>
        </w:trPr>
        <w:tc>
          <w:tcPr>
            <w:tcW w:type="dxa" w:w="3168"/>
          </w:tcPr>
          <w:p/>
        </w:tc>
        <w:tc>
          <w:tcPr>
            <w:tcW w:type="dxa" w:w="3168"/>
          </w:tcPr>
          <w:p/>
        </w:tc>
        <w:tc>
          <w:tcPr>
            <w:tcW w:type="dxa" w:w="3456"/>
          </w:tcPr>
          <w:p/>
        </w:tc>
      </w:tr>
    </w:tbl>
    <w:p>
      <w:pPr>
        <w:spacing w:after="40"/>
      </w:pPr>
    </w:p>
    <w:p>
      <w:pPr>
        <w:spacing w:before="140" w:after="60"/>
      </w:pPr>
      <w:r>
        <w:rPr>
          <w:rFonts w:ascii="Calibri" w:hAnsi="Calibri"/>
          <w:b/>
          <w:i w:val="0"/>
          <w:color w:val="0E2841"/>
          <w:sz w:val="23"/>
        </w:rPr>
        <w:t>Scenario 2</w:t>
      </w:r>
    </w:p>
    <w:p>
      <w:pPr>
        <w:spacing w:before="0" w:after="60"/>
      </w:pPr>
      <w:r>
        <w:rPr>
          <w:rFonts w:ascii="Calibri" w:hAnsi="Calibri"/>
          <w:b w:val="0"/>
          <w:i w:val="0"/>
          <w:sz w:val="21"/>
        </w:rPr>
        <w:t>A party raises a substantive point with you in the corridor before the meeting. You respond thoughtfully. The other two parties were not present.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168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What you say or do, there and then</w:t>
            </w:r>
          </w:p>
        </w:tc>
        <w:tc>
          <w:tcPr>
            <w:tcW w:type="dxa" w:w="3168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Which party is watching, and what they conclude</w:t>
            </w:r>
          </w:p>
        </w:tc>
        <w:tc>
          <w:tcPr>
            <w:tcW w:type="dxa" w:w="3456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The rule, written in advance (one sentence)</w:t>
            </w:r>
          </w:p>
        </w:tc>
      </w:tr>
      <w:tr>
        <w:trPr>
          <w:trHeight w:val="936"/>
        </w:trPr>
        <w:tc>
          <w:tcPr>
            <w:tcW w:type="dxa" w:w="3168"/>
          </w:tcPr>
          <w:p/>
        </w:tc>
        <w:tc>
          <w:tcPr>
            <w:tcW w:type="dxa" w:w="3168"/>
          </w:tcPr>
          <w:p/>
        </w:tc>
        <w:tc>
          <w:tcPr>
            <w:tcW w:type="dxa" w:w="3456"/>
          </w:tcPr>
          <w:p/>
        </w:tc>
      </w:tr>
    </w:tbl>
    <w:p>
      <w:pPr>
        <w:spacing w:after="40"/>
      </w:pPr>
    </w:p>
    <w:p>
      <w:pPr>
        <w:spacing w:before="140" w:after="60"/>
      </w:pPr>
      <w:r>
        <w:rPr>
          <w:rFonts w:ascii="Calibri" w:hAnsi="Calibri"/>
          <w:b/>
          <w:i w:val="0"/>
          <w:color w:val="0E2841"/>
          <w:sz w:val="23"/>
        </w:rPr>
        <w:t>Scenario 3</w:t>
      </w:r>
    </w:p>
    <w:p>
      <w:pPr>
        <w:spacing w:before="0" w:after="60"/>
      </w:pPr>
      <w:r>
        <w:rPr>
          <w:rFonts w:ascii="Calibri" w:hAnsi="Calibri"/>
          <w:b w:val="0"/>
          <w:i w:val="0"/>
          <w:sz w:val="21"/>
        </w:rPr>
        <w:t>In drafting the minutes you soften a sharp exchange because it reads badly. The party whose objection was softened reads the draft.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168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What you say or do, there and then</w:t>
            </w:r>
          </w:p>
        </w:tc>
        <w:tc>
          <w:tcPr>
            <w:tcW w:type="dxa" w:w="3168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Which party is watching, and what they conclude</w:t>
            </w:r>
          </w:p>
        </w:tc>
        <w:tc>
          <w:tcPr>
            <w:tcW w:type="dxa" w:w="3456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The rule, written in advance (one sentence)</w:t>
            </w:r>
          </w:p>
        </w:tc>
      </w:tr>
      <w:tr>
        <w:trPr>
          <w:trHeight w:val="936"/>
        </w:trPr>
        <w:tc>
          <w:tcPr>
            <w:tcW w:type="dxa" w:w="3168"/>
          </w:tcPr>
          <w:p/>
        </w:tc>
        <w:tc>
          <w:tcPr>
            <w:tcW w:type="dxa" w:w="3168"/>
          </w:tcPr>
          <w:p/>
        </w:tc>
        <w:tc>
          <w:tcPr>
            <w:tcW w:type="dxa" w:w="3456"/>
          </w:tcPr>
          <w:p/>
        </w:tc>
      </w:tr>
    </w:tbl>
    <w:p>
      <w:pPr>
        <w:spacing w:after="40"/>
      </w:pPr>
    </w:p>
    <w:p>
      <w:pPr>
        <w:spacing w:before="140" w:after="60"/>
      </w:pPr>
      <w:r>
        <w:rPr>
          <w:rFonts w:ascii="Calibri" w:hAnsi="Calibri"/>
          <w:b/>
          <w:i w:val="0"/>
          <w:color w:val="0E2841"/>
          <w:sz w:val="23"/>
        </w:rPr>
        <w:t>Scenario 4</w:t>
      </w:r>
    </w:p>
    <w:p>
      <w:pPr>
        <w:spacing w:before="0" w:after="60"/>
      </w:pPr>
      <w:r>
        <w:rPr>
          <w:rFonts w:ascii="Calibri" w:hAnsi="Calibri"/>
          <w:b w:val="0"/>
          <w:i w:val="0"/>
          <w:sz w:val="21"/>
        </w:rPr>
        <w:t>A government official hands you a memo with talking points for the briefing note, marked "not to be shared with the other social partners".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168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What you say or do, there and then</w:t>
            </w:r>
          </w:p>
        </w:tc>
        <w:tc>
          <w:tcPr>
            <w:tcW w:type="dxa" w:w="3168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Which party is watching, and what they conclude</w:t>
            </w:r>
          </w:p>
        </w:tc>
        <w:tc>
          <w:tcPr>
            <w:tcW w:type="dxa" w:w="3456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The rule, written in advance (one sentence)</w:t>
            </w:r>
          </w:p>
        </w:tc>
      </w:tr>
      <w:tr>
        <w:trPr>
          <w:trHeight w:val="936"/>
        </w:trPr>
        <w:tc>
          <w:tcPr>
            <w:tcW w:type="dxa" w:w="3168"/>
          </w:tcPr>
          <w:p/>
        </w:tc>
        <w:tc>
          <w:tcPr>
            <w:tcW w:type="dxa" w:w="3168"/>
          </w:tcPr>
          <w:p/>
        </w:tc>
        <w:tc>
          <w:tcPr>
            <w:tcW w:type="dxa" w:w="3456"/>
          </w:tcPr>
          <w:p/>
        </w:tc>
      </w:tr>
    </w:tbl>
    <w:p>
      <w:pPr>
        <w:spacing w:after="40"/>
      </w:pPr>
    </w:p>
    <w:p>
      <w:pPr>
        <w:spacing w:before="140" w:after="60"/>
      </w:pPr>
      <w:r>
        <w:rPr>
          <w:rFonts w:ascii="Calibri" w:hAnsi="Calibri"/>
          <w:b/>
          <w:i w:val="0"/>
          <w:color w:val="0E2841"/>
          <w:sz w:val="23"/>
        </w:rPr>
        <w:t>Scenario 5</w:t>
      </w:r>
    </w:p>
    <w:p>
      <w:pPr>
        <w:spacing w:before="0" w:after="60"/>
      </w:pPr>
      <w:r>
        <w:rPr>
          <w:rFonts w:ascii="Calibri" w:hAnsi="Calibri"/>
          <w:b w:val="0"/>
          <w:i w:val="0"/>
          <w:sz w:val="21"/>
        </w:rPr>
        <w:t>Owing to a printing error, one party’s documents will arrive a day later than the others’. You have been asked to send what is ready.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168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What you say or do, there and then</w:t>
            </w:r>
          </w:p>
        </w:tc>
        <w:tc>
          <w:tcPr>
            <w:tcW w:type="dxa" w:w="3168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Which party is watching, and what they conclude</w:t>
            </w:r>
          </w:p>
        </w:tc>
        <w:tc>
          <w:tcPr>
            <w:tcW w:type="dxa" w:w="3456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The rule, written in advance (one sentence)</w:t>
            </w:r>
          </w:p>
        </w:tc>
      </w:tr>
      <w:tr>
        <w:trPr>
          <w:trHeight w:val="936"/>
        </w:trPr>
        <w:tc>
          <w:tcPr>
            <w:tcW w:type="dxa" w:w="3168"/>
          </w:tcPr>
          <w:p/>
        </w:tc>
        <w:tc>
          <w:tcPr>
            <w:tcW w:type="dxa" w:w="3168"/>
          </w:tcPr>
          <w:p/>
        </w:tc>
        <w:tc>
          <w:tcPr>
            <w:tcW w:type="dxa" w:w="3456"/>
          </w:tcPr>
          <w:p/>
        </w:tc>
      </w:tr>
    </w:tbl>
    <w:p>
      <w:pPr>
        <w:spacing w:after="40"/>
      </w:pPr>
    </w:p>
    <w:p>
      <w:pPr>
        <w:spacing w:before="140" w:after="60"/>
      </w:pPr>
      <w:r>
        <w:rPr>
          <w:rFonts w:ascii="Calibri" w:hAnsi="Calibri"/>
          <w:b/>
          <w:i w:val="0"/>
          <w:color w:val="0E2841"/>
          <w:sz w:val="23"/>
        </w:rPr>
        <w:t>Scenario 6</w:t>
      </w:r>
    </w:p>
    <w:p>
      <w:pPr>
        <w:spacing w:before="0" w:after="60"/>
      </w:pPr>
      <w:r>
        <w:rPr>
          <w:rFonts w:ascii="Calibri" w:hAnsi="Calibri"/>
          <w:b w:val="0"/>
          <w:i w:val="0"/>
          <w:sz w:val="21"/>
        </w:rPr>
        <w:t>A party asks you to place their item first on the agenda, because their representative has to leave early.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168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What you say or do, there and then</w:t>
            </w:r>
          </w:p>
        </w:tc>
        <w:tc>
          <w:tcPr>
            <w:tcW w:type="dxa" w:w="3168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Which party is watching, and what they conclude</w:t>
            </w:r>
          </w:p>
        </w:tc>
        <w:tc>
          <w:tcPr>
            <w:tcW w:type="dxa" w:w="3456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The rule, written in advance (one sentence)</w:t>
            </w:r>
          </w:p>
        </w:tc>
      </w:tr>
      <w:tr>
        <w:trPr>
          <w:trHeight w:val="936"/>
        </w:trPr>
        <w:tc>
          <w:tcPr>
            <w:tcW w:type="dxa" w:w="3168"/>
          </w:tcPr>
          <w:p/>
        </w:tc>
        <w:tc>
          <w:tcPr>
            <w:tcW w:type="dxa" w:w="3168"/>
          </w:tcPr>
          <w:p/>
        </w:tc>
        <w:tc>
          <w:tcPr>
            <w:tcW w:type="dxa" w:w="3456"/>
          </w:tcPr>
          <w:p/>
        </w:tc>
      </w:tr>
    </w:tbl>
    <w:p>
      <w:pPr>
        <w:spacing w:after="40"/>
      </w:pPr>
    </w:p>
    <w:p>
      <w:pPr>
        <w:spacing w:before="140" w:after="60"/>
      </w:pPr>
      <w:r>
        <w:rPr>
          <w:rFonts w:ascii="Calibri" w:hAnsi="Calibri"/>
          <w:b/>
          <w:i w:val="0"/>
          <w:color w:val="0E2841"/>
          <w:sz w:val="23"/>
        </w:rPr>
        <w:t>Scenario 7</w:t>
      </w:r>
    </w:p>
    <w:p>
      <w:pPr>
        <w:spacing w:before="0" w:after="60"/>
      </w:pPr>
      <w:r>
        <w:rPr>
          <w:rFonts w:ascii="Calibri" w:hAnsi="Calibri"/>
          <w:b w:val="0"/>
          <w:i w:val="0"/>
          <w:sz w:val="21"/>
        </w:rPr>
        <w:t>A journalist telephones to ask what was decided at yesterday’s meeting. Nothing has been published.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168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What you say or do, there and then</w:t>
            </w:r>
          </w:p>
        </w:tc>
        <w:tc>
          <w:tcPr>
            <w:tcW w:type="dxa" w:w="3168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Which party is watching, and what they conclude</w:t>
            </w:r>
          </w:p>
        </w:tc>
        <w:tc>
          <w:tcPr>
            <w:tcW w:type="dxa" w:w="3456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The rule, written in advance (one sentence)</w:t>
            </w:r>
          </w:p>
        </w:tc>
      </w:tr>
      <w:tr>
        <w:trPr>
          <w:trHeight w:val="936"/>
        </w:trPr>
        <w:tc>
          <w:tcPr>
            <w:tcW w:type="dxa" w:w="3168"/>
          </w:tcPr>
          <w:p/>
        </w:tc>
        <w:tc>
          <w:tcPr>
            <w:tcW w:type="dxa" w:w="3168"/>
          </w:tcPr>
          <w:p/>
        </w:tc>
        <w:tc>
          <w:tcPr>
            <w:tcW w:type="dxa" w:w="3456"/>
          </w:tcPr>
          <w:p/>
        </w:tc>
      </w:tr>
    </w:tbl>
    <w:p>
      <w:pPr>
        <w:spacing w:after="40"/>
      </w:pPr>
    </w:p>
    <w:p>
      <w:pPr>
        <w:spacing w:before="140" w:after="60"/>
      </w:pPr>
      <w:r>
        <w:rPr>
          <w:rFonts w:ascii="Calibri" w:hAnsi="Calibri"/>
          <w:b/>
          <w:i w:val="0"/>
          <w:color w:val="0E2841"/>
          <w:sz w:val="23"/>
        </w:rPr>
        <w:t>Scenario 8</w:t>
      </w:r>
    </w:p>
    <w:p>
      <w:pPr>
        <w:spacing w:before="0" w:after="60"/>
      </w:pPr>
      <w:r>
        <w:rPr>
          <w:rFonts w:ascii="Calibri" w:hAnsi="Calibri"/>
          <w:b w:val="0"/>
          <w:i w:val="0"/>
          <w:sz w:val="21"/>
        </w:rPr>
        <w:t>A senior official asks you to leave an item off the agenda entirely, saying that "the Minister would prefer it not be discussed at this stage".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168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What you say or do, there and then</w:t>
            </w:r>
          </w:p>
        </w:tc>
        <w:tc>
          <w:tcPr>
            <w:tcW w:type="dxa" w:w="3168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Which party is watching, and what they conclude</w:t>
            </w:r>
          </w:p>
        </w:tc>
        <w:tc>
          <w:tcPr>
            <w:tcW w:type="dxa" w:w="3456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The rule, written in advance (one sentence)</w:t>
            </w:r>
          </w:p>
        </w:tc>
      </w:tr>
      <w:tr>
        <w:trPr>
          <w:trHeight w:val="936"/>
        </w:trPr>
        <w:tc>
          <w:tcPr>
            <w:tcW w:type="dxa" w:w="3168"/>
          </w:tcPr>
          <w:p/>
        </w:tc>
        <w:tc>
          <w:tcPr>
            <w:tcW w:type="dxa" w:w="3168"/>
          </w:tcPr>
          <w:p/>
        </w:tc>
        <w:tc>
          <w:tcPr>
            <w:tcW w:type="dxa" w:w="3456"/>
          </w:tcPr>
          <w:p/>
        </w:tc>
      </w:tr>
    </w:tbl>
    <w:p>
      <w:pPr>
        <w:spacing w:after="40"/>
      </w:pPr>
    </w:p>
    <w:p>
      <w:r>
        <w:br w:type="page"/>
      </w:r>
    </w:p>
    <w:p>
      <w:pPr>
        <w:spacing w:before="0" w:after="80"/>
      </w:pPr>
      <w:r>
        <w:rPr>
          <w:rFonts w:ascii="Calibri" w:hAnsi="Calibri"/>
          <w:b/>
          <w:i w:val="0"/>
          <w:color w:val="0D6652"/>
          <w:sz w:val="28"/>
        </w:rPr>
        <w:t>Two tests for a difficult moment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896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The mandate test</w:t>
            </w:r>
          </w:p>
        </w:tc>
        <w:tc>
          <w:tcPr>
            <w:tcW w:type="dxa" w:w="4896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The visibility test</w:t>
            </w:r>
          </w:p>
        </w:tc>
      </w:tr>
      <w:tr>
        <w:tc>
          <w:tcPr>
            <w:tcW w:type="dxa" w:w="4896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Is there a conflict here, or can the secretariat act in congruence with the oath of office and the standard expected of the role?</w:t>
            </w:r>
          </w:p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</w:r>
          </w:p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If the instrument or the rules of procedure address this, that settles it.</w:t>
            </w:r>
          </w:p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</w:r>
          </w:p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If they do not: does the action advance the body’s function, or one party’s position?</w:t>
            </w:r>
          </w:p>
        </w:tc>
        <w:tc>
          <w:tcPr>
            <w:tcW w:type="dxa" w:w="4896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Would I be comfortable if my children, my parents, or those close to me knew what I am doing?</w:t>
            </w:r>
          </w:p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</w:r>
          </w:p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Would I be comfortable if the other two parties learned of this tomorrow?</w:t>
            </w:r>
          </w:p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</w:r>
          </w:p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If the answer to either is no, the action is wrong regardless of its justification.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Calibri" w:hAnsi="Calibri"/>
          <w:b/>
          <w:i w:val="0"/>
          <w:color w:val="0D6652"/>
          <w:sz w:val="28"/>
        </w:rPr>
        <w:t>Minimum standards of conduct — our draft</w:t>
      </w:r>
    </w:p>
    <w:p>
      <w:pPr>
        <w:spacing w:before="0" w:after="80"/>
      </w:pPr>
      <w:r>
        <w:rPr>
          <w:rFonts w:ascii="Calibri" w:hAnsi="Calibri"/>
          <w:b w:val="0"/>
          <w:i/>
          <w:color w:val="595959"/>
          <w:sz w:val="20"/>
        </w:rPr>
        <w:t>Assembled from the rules this room has just written.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76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</w:r>
          </w:p>
        </w:tc>
        <w:tc>
          <w:tcPr>
            <w:tcW w:type="dxa" w:w="9216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Standard</w:t>
            </w:r>
          </w:p>
        </w:tc>
      </w:tr>
      <w:tr>
        <w:trPr>
          <w:trHeight w:val="576"/>
        </w:trPr>
        <w:tc>
          <w:tcPr>
            <w:tcW w:type="dxa" w:w="576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9216"/>
          </w:tcPr>
          <w:p/>
        </w:tc>
      </w:tr>
      <w:tr>
        <w:trPr>
          <w:trHeight w:val="576"/>
        </w:trPr>
        <w:tc>
          <w:tcPr>
            <w:tcW w:type="dxa" w:w="576"/>
            <w:shd w:val="clear" w:color="auto" w:fill="F4F6F5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2</w:t>
            </w:r>
          </w:p>
        </w:tc>
        <w:tc>
          <w:tcPr>
            <w:tcW w:type="dxa" w:w="9216"/>
            <w:shd w:val="clear" w:color="auto" w:fill="F4F6F5"/>
          </w:tcPr>
          <w:p/>
        </w:tc>
      </w:tr>
      <w:tr>
        <w:trPr>
          <w:trHeight w:val="576"/>
        </w:trPr>
        <w:tc>
          <w:tcPr>
            <w:tcW w:type="dxa" w:w="576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3</w:t>
            </w:r>
          </w:p>
        </w:tc>
        <w:tc>
          <w:tcPr>
            <w:tcW w:type="dxa" w:w="9216"/>
          </w:tcPr>
          <w:p/>
        </w:tc>
      </w:tr>
      <w:tr>
        <w:trPr>
          <w:trHeight w:val="576"/>
        </w:trPr>
        <w:tc>
          <w:tcPr>
            <w:tcW w:type="dxa" w:w="576"/>
            <w:shd w:val="clear" w:color="auto" w:fill="F4F6F5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4</w:t>
            </w:r>
          </w:p>
        </w:tc>
        <w:tc>
          <w:tcPr>
            <w:tcW w:type="dxa" w:w="9216"/>
            <w:shd w:val="clear" w:color="auto" w:fill="F4F6F5"/>
          </w:tcPr>
          <w:p/>
        </w:tc>
      </w:tr>
      <w:tr>
        <w:trPr>
          <w:trHeight w:val="576"/>
        </w:trPr>
        <w:tc>
          <w:tcPr>
            <w:tcW w:type="dxa" w:w="576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5</w:t>
            </w:r>
          </w:p>
        </w:tc>
        <w:tc>
          <w:tcPr>
            <w:tcW w:type="dxa" w:w="9216"/>
          </w:tcPr>
          <w:p/>
        </w:tc>
      </w:tr>
      <w:tr>
        <w:trPr>
          <w:trHeight w:val="576"/>
        </w:trPr>
        <w:tc>
          <w:tcPr>
            <w:tcW w:type="dxa" w:w="576"/>
            <w:shd w:val="clear" w:color="auto" w:fill="F4F6F5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6</w:t>
            </w:r>
          </w:p>
        </w:tc>
        <w:tc>
          <w:tcPr>
            <w:tcW w:type="dxa" w:w="9216"/>
            <w:shd w:val="clear" w:color="auto" w:fill="F4F6F5"/>
          </w:tcPr>
          <w:p/>
        </w:tc>
      </w:tr>
      <w:tr>
        <w:trPr>
          <w:trHeight w:val="576"/>
        </w:trPr>
        <w:tc>
          <w:tcPr>
            <w:tcW w:type="dxa" w:w="576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7</w:t>
            </w:r>
          </w:p>
        </w:tc>
        <w:tc>
          <w:tcPr>
            <w:tcW w:type="dxa" w:w="9216"/>
          </w:tcPr>
          <w:p/>
        </w:tc>
      </w:tr>
    </w:tbl>
    <w:p>
      <w:pPr>
        <w:spacing w:after="40"/>
      </w:pPr>
    </w:p>
    <w:p>
      <w:r>
        <w:br w:type="page"/>
      </w:r>
    </w:p>
    <w:p>
      <w:pPr>
        <w:spacing w:before="0" w:after="60"/>
      </w:pPr>
      <w:r>
        <w:rPr>
          <w:rFonts w:ascii="Calibri" w:hAnsi="Calibri"/>
          <w:b/>
          <w:i w:val="0"/>
          <w:color w:val="0D6652"/>
          <w:sz w:val="28"/>
        </w:rPr>
        <w:t>Your own secretariat, against the two models</w:t>
      </w:r>
    </w:p>
    <w:p>
      <w:pPr>
        <w:spacing w:before="0" w:after="120"/>
      </w:pPr>
      <w:r>
        <w:rPr>
          <w:rFonts w:ascii="Calibri" w:hAnsi="Calibri"/>
          <w:b w:val="0"/>
          <w:i/>
          <w:color w:val="595959"/>
          <w:sz w:val="20"/>
        </w:rPr>
        <w:t>The session compares two secretariat arrangements: one housed inside the ministry, with the operational programmes carried by a joint entity owned by the tripartite partners; and one established as an autonomous statutory body with its own budget line and an executive director appointed by the council. Neither is a target. Use them to see what is missing in your own.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3600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Feature</w:t>
            </w:r>
          </w:p>
        </w:tc>
        <w:tc>
          <w:tcPr>
            <w:tcW w:type="dxa" w:w="2304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In your institution today</w:t>
            </w:r>
          </w:p>
        </w:tc>
        <w:tc>
          <w:tcPr>
            <w:tcW w:type="dxa" w:w="2592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What it would take to have it</w:t>
            </w:r>
          </w:p>
        </w:tc>
        <w:tc>
          <w:tcPr>
            <w:tcW w:type="dxa" w:w="1296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Whose agreement is needed</w:t>
            </w:r>
          </w:p>
        </w:tc>
      </w:tr>
      <w:tr>
        <w:trPr>
          <w:trHeight w:val="720"/>
        </w:trPr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A named budget line for the secretariat’s own operating costs</w:t>
            </w:r>
          </w:p>
        </w:tc>
        <w:tc>
          <w:tcPr>
            <w:tcW w:type="dxa" w:w="2304"/>
          </w:tcPr>
          <w:p/>
        </w:tc>
        <w:tc>
          <w:tcPr>
            <w:tcW w:type="dxa" w:w="2592"/>
          </w:tcPr>
          <w:p/>
        </w:tc>
        <w:tc>
          <w:tcPr>
            <w:tcW w:type="dxa" w:w="1296"/>
          </w:tcPr>
          <w:p/>
        </w:tc>
      </w:tr>
      <w:tr>
        <w:trPr>
          <w:trHeight w:val="720"/>
        </w:trPr>
        <w:tc>
          <w:tcPr>
            <w:tcW w:type="dxa" w:w="3600"/>
            <w:shd w:val="clear" w:color="auto" w:fill="F4F6F5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A technical function identified by name — somebody whose job includes evidence work</w:t>
            </w:r>
          </w:p>
        </w:tc>
        <w:tc>
          <w:tcPr>
            <w:tcW w:type="dxa" w:w="2304"/>
            <w:shd w:val="clear" w:color="auto" w:fill="F4F6F5"/>
          </w:tcPr>
          <w:p/>
        </w:tc>
        <w:tc>
          <w:tcPr>
            <w:tcW w:type="dxa" w:w="2592"/>
            <w:shd w:val="clear" w:color="auto" w:fill="F4F6F5"/>
          </w:tcPr>
          <w:p/>
        </w:tc>
        <w:tc>
          <w:tcPr>
            <w:tcW w:type="dxa" w:w="1296"/>
            <w:shd w:val="clear" w:color="auto" w:fill="F4F6F5"/>
          </w:tcPr>
          <w:p/>
        </w:tc>
      </w:tr>
      <w:tr>
        <w:trPr>
          <w:trHeight w:val="720"/>
        </w:trPr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An officer who follows each standing subject across years</w:t>
            </w:r>
          </w:p>
        </w:tc>
        <w:tc>
          <w:tcPr>
            <w:tcW w:type="dxa" w:w="2304"/>
          </w:tcPr>
          <w:p/>
        </w:tc>
        <w:tc>
          <w:tcPr>
            <w:tcW w:type="dxa" w:w="2592"/>
          </w:tcPr>
          <w:p/>
        </w:tc>
        <w:tc>
          <w:tcPr>
            <w:tcW w:type="dxa" w:w="1296"/>
          </w:tcPr>
          <w:p/>
        </w:tc>
      </w:tr>
      <w:tr>
        <w:trPr>
          <w:trHeight w:val="720"/>
        </w:trPr>
        <w:tc>
          <w:tcPr>
            <w:tcW w:type="dxa" w:w="3600"/>
            <w:shd w:val="clear" w:color="auto" w:fill="F4F6F5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A written statement, agreed by the body, of what the secretariat does and does not do</w:t>
            </w:r>
          </w:p>
        </w:tc>
        <w:tc>
          <w:tcPr>
            <w:tcW w:type="dxa" w:w="2304"/>
            <w:shd w:val="clear" w:color="auto" w:fill="F4F6F5"/>
          </w:tcPr>
          <w:p/>
        </w:tc>
        <w:tc>
          <w:tcPr>
            <w:tcW w:type="dxa" w:w="2592"/>
            <w:shd w:val="clear" w:color="auto" w:fill="F4F6F5"/>
          </w:tcPr>
          <w:p/>
        </w:tc>
        <w:tc>
          <w:tcPr>
            <w:tcW w:type="dxa" w:w="1296"/>
            <w:shd w:val="clear" w:color="auto" w:fill="F4F6F5"/>
          </w:tcPr>
          <w:p/>
        </w:tc>
      </w:tr>
      <w:tr>
        <w:trPr>
          <w:trHeight w:val="720"/>
        </w:trPr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Authority to receive or administer external research support</w:t>
            </w:r>
          </w:p>
        </w:tc>
        <w:tc>
          <w:tcPr>
            <w:tcW w:type="dxa" w:w="2304"/>
          </w:tcPr>
          <w:p/>
        </w:tc>
        <w:tc>
          <w:tcPr>
            <w:tcW w:type="dxa" w:w="2592"/>
          </w:tcPr>
          <w:p/>
        </w:tc>
        <w:tc>
          <w:tcPr>
            <w:tcW w:type="dxa" w:w="1296"/>
          </w:tcPr>
          <w:p/>
        </w:tc>
      </w:tr>
      <w:tr>
        <w:trPr>
          <w:trHeight w:val="720"/>
        </w:trPr>
        <w:tc>
          <w:tcPr>
            <w:tcW w:type="dxa" w:w="3600"/>
            <w:shd w:val="clear" w:color="auto" w:fill="F4F6F5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An executive head who reports to the body rather than up a ministry line</w:t>
            </w:r>
          </w:p>
        </w:tc>
        <w:tc>
          <w:tcPr>
            <w:tcW w:type="dxa" w:w="2304"/>
            <w:shd w:val="clear" w:color="auto" w:fill="F4F6F5"/>
          </w:tcPr>
          <w:p/>
        </w:tc>
        <w:tc>
          <w:tcPr>
            <w:tcW w:type="dxa" w:w="2592"/>
            <w:shd w:val="clear" w:color="auto" w:fill="F4F6F5"/>
          </w:tcPr>
          <w:p/>
        </w:tc>
        <w:tc>
          <w:tcPr>
            <w:tcW w:type="dxa" w:w="1296"/>
            <w:shd w:val="clear" w:color="auto" w:fill="F4F6F5"/>
          </w:tcPr>
          <w:p/>
        </w:tc>
      </w:tr>
    </w:tbl>
    <w:p>
      <w:pPr>
        <w:spacing w:after="40"/>
      </w:pPr>
    </w:p>
    <w:p>
      <w:pPr>
        <w:spacing w:before="80" w:after="120"/>
      </w:pPr>
      <w:r>
        <w:rPr>
          <w:rFonts w:ascii="Calibri" w:hAnsi="Calibri"/>
          <w:b w:val="0"/>
          <w:i/>
          <w:color w:val="E72F1F"/>
          <w:sz w:val="20"/>
        </w:rPr>
        <w:t>Four of those six need nobody’s permission beyond the body itself. Mark which four, and carry them to your 30-day plan on Sunday.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08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</w:r>
          </w:p>
        </w:tc>
        <w:tc>
          <w:tcPr>
            <w:tcW w:type="dxa" w:w="5184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Your answer</w:t>
            </w:r>
          </w:p>
        </w:tc>
      </w:tr>
      <w:tr>
        <w:trPr>
          <w:trHeight w:val="864"/>
        </w:trPr>
        <w:tc>
          <w:tcPr>
            <w:tcW w:type="dxa" w:w="460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Which of the two models is closer to your arrangement today?</w:t>
            </w:r>
          </w:p>
        </w:tc>
        <w:tc>
          <w:tcPr>
            <w:tcW w:type="dxa" w:w="5184"/>
          </w:tcPr>
          <w:p/>
        </w:tc>
      </w:tr>
      <w:tr>
        <w:trPr>
          <w:trHeight w:val="864"/>
        </w:trPr>
        <w:tc>
          <w:tcPr>
            <w:tcW w:type="dxa" w:w="460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Which single feature of the other one would you want most?</w:t>
            </w:r>
          </w:p>
        </w:tc>
        <w:tc>
          <w:tcPr>
            <w:tcW w:type="dxa" w:w="5184"/>
          </w:tcPr>
          <w:p/>
        </w:tc>
      </w:tr>
      <w:tr>
        <w:trPr>
          <w:trHeight w:val="864"/>
        </w:trPr>
        <w:tc>
          <w:tcPr>
            <w:tcW w:type="dxa" w:w="460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And what is the honest reason you do not have it?</w:t>
            </w:r>
          </w:p>
        </w:tc>
        <w:tc>
          <w:tcPr>
            <w:tcW w:type="dxa" w:w="5184"/>
          </w:tcPr>
          <w:p/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95959"/>
        <w:sz w:val="16"/>
      </w:rPr>
      <w:t>A3519988  ·  Handout 2.1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color w:val="595959"/>
        <w:sz w:val="16"/>
      </w:rPr>
      <w:t>International Training Centre of the ILO   |   A3519988   |   Strengthening the Capacities of the Secretariats of TSDIs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