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95959"/>
          <w:sz w:val="18"/>
        </w:rPr>
        <w:t>PARTICIPANT HANDOUT 3.1</w:t>
      </w:r>
    </w:p>
    <w:p>
      <w:pPr>
        <w:spacing w:before="0" w:after="60"/>
      </w:pPr>
      <w:r>
        <w:rPr>
          <w:rFonts w:ascii="Calibri" w:hAnsi="Calibri"/>
          <w:b/>
          <w:i w:val="0"/>
          <w:color w:val="0E2841"/>
          <w:sz w:val="32"/>
        </w:rPr>
        <w:t>Meeting scenarios, agenda and notice</w:t>
      </w:r>
    </w:p>
    <w:p>
      <w:pPr>
        <w:spacing w:before="0" w:after="200"/>
      </w:pPr>
      <w:r>
        <w:rPr>
          <w:rFonts w:ascii="Calibri" w:hAnsi="Calibri"/>
          <w:b/>
          <w:i w:val="0"/>
          <w:color w:val="0D6652"/>
          <w:sz w:val="20"/>
        </w:rPr>
        <w:t>Session 3 — Day one, 13:30–15:00   ·   30 minutes — 10 preparation, 5 setup, 15 role play   ·   Four groups</w:t>
      </w:r>
    </w:p>
    <w:p>
      <w:pPr>
        <w:spacing w:before="0" w:after="160"/>
      </w:pPr>
      <w:r>
        <w:rPr>
          <w:rFonts w:ascii="Calibri" w:hAnsi="Calibri"/>
          <w:b/>
          <w:i w:val="0"/>
          <w:color w:val="E72F1F"/>
          <w:sz w:val="19"/>
        </w:rPr>
        <w:t>TRAINING MATERIAL — SIMULATED SCENARIOS, written for this exercise.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0D6652"/>
          </w:tcPr>
          <w:p>
            <w:pPr>
              <w:spacing w:before="60" w:after="60"/>
            </w:pPr>
            <w:r>
              <w:rPr>
                <w:rFonts w:ascii="Calibri" w:hAnsi="Calibri"/>
                <w:b/>
                <w:color w:val="FFFFFF"/>
                <w:sz w:val="20"/>
              </w:rPr>
              <w:t>TASK</w:t>
            </w:r>
            <w:r>
              <w:rPr>
                <w:rFonts w:ascii="Calibri" w:hAnsi="Calibri"/>
                <w:color w:val="D6E4E0"/>
                <w:sz w:val="20"/>
              </w:rPr>
              <w:t xml:space="preserve">    As the secretariat, prepare the agenda and the notice for your meeting, then present them to the chair for approval.</w:t>
            </w:r>
          </w:p>
        </w:tc>
      </w:tr>
    </w:tbl>
    <w:p>
      <w:pPr>
        <w:spacing w:after="40"/>
      </w:pPr>
    </w:p>
    <w:p>
      <w:pPr>
        <w:spacing w:before="160" w:after="80"/>
      </w:pPr>
      <w:r>
        <w:rPr>
          <w:rFonts w:ascii="Calibri" w:hAnsi="Calibri"/>
          <w:b/>
          <w:i w:val="0"/>
          <w:color w:val="0D6652"/>
          <w:sz w:val="26"/>
        </w:rPr>
        <w:t>Your scenario</w:t>
      </w:r>
    </w:p>
    <w:tbl>
      <w:tblPr>
        <w:tblStyle w:val="TableGrid"/>
        <w:tblW w:type="auto" w:w="0"/>
        <w:jc w:val="left"/>
        <w:tblLook w:firstColumn="1" w:firstRow="1" w:lastColumn="0" w:lastRow="0" w:noHBand="0" w:noVBand="1" w:val="04A0"/>
      </w:tblPr>
      <w:tblGrid>
        <w:gridCol w:w="5040"/>
        <w:gridCol w:w="5040"/>
      </w:tblGrid>
      <w:tr>
        <w:tc>
          <w:tcPr>
            <w:tcW w:type="dxa" w:w="864"/>
            <w:shd w:val="clear" w:color="auto" w:fill="0D6652"/>
          </w:tcPr>
          <w:p>
            <w:pPr>
              <w:spacing w:before="20" w:after="40"/>
            </w:pPr>
            <w:r>
              <w:rPr>
                <w:rFonts w:ascii="Calibri" w:hAnsi="Calibri"/>
                <w:b/>
                <w:i w:val="0"/>
                <w:color w:val="FFFFFF"/>
                <w:sz w:val="19"/>
              </w:rPr>
              <w:t>Group</w:t>
            </w:r>
          </w:p>
        </w:tc>
        <w:tc>
          <w:tcPr>
            <w:tcW w:type="dxa" w:w="8928"/>
            <w:shd w:val="clear" w:color="auto" w:fill="0D6652"/>
          </w:tcPr>
          <w:p>
            <w:pPr>
              <w:spacing w:before="20" w:after="40"/>
            </w:pPr>
            <w:r>
              <w:rPr>
                <w:rFonts w:ascii="Calibri" w:hAnsi="Calibri"/>
                <w:b/>
                <w:i w:val="0"/>
                <w:color w:val="FFFFFF"/>
                <w:sz w:val="19"/>
              </w:rPr>
              <w:t>The meeting</w:t>
            </w:r>
          </w:p>
        </w:tc>
      </w:tr>
      <w:tr>
        <w:trPr>
          <w:trHeight w:val="1296"/>
        </w:trPr>
        <w:tc>
          <w:tcPr>
            <w:tcW w:type="dxa" w:w="864"/>
          </w:tcPr>
          <w:p>
            <w:pPr>
              <w:spacing w:before="20" w:after="20"/>
            </w:pPr>
            <w:r>
              <w:rPr>
                <w:rFonts w:ascii="Calibri" w:hAnsi="Calibri"/>
                <w:b w:val="0"/>
                <w:i w:val="0"/>
                <w:sz w:val="19"/>
              </w:rPr>
              <w:t>1</w:t>
            </w:r>
          </w:p>
        </w:tc>
        <w:tc>
          <w:tcPr>
            <w:tcW w:type="dxa" w:w="8928"/>
          </w:tcPr>
          <w:p>
            <w:pPr>
              <w:spacing w:before="20" w:after="20"/>
            </w:pPr>
            <w:r>
              <w:rPr>
                <w:rFonts w:ascii="Calibri" w:hAnsi="Calibri"/>
                <w:b w:val="0"/>
                <w:i w:val="0"/>
                <w:sz w:val="19"/>
              </w:rPr>
              <w:t>An ordinary quarterly meeting. Six items have been submitted, one of them by a worker organization four days ago — after the submission deadline — on a dispute in a single enterprise. One item is a routine annual report. One concerns a draft rule on which the Ministry wants the body’s view before it goes forward.</w:t>
            </w:r>
          </w:p>
        </w:tc>
      </w:tr>
      <w:tr>
        <w:trPr>
          <w:trHeight w:val="1296"/>
        </w:trPr>
        <w:tc>
          <w:tcPr>
            <w:tcW w:type="dxa" w:w="864"/>
            <w:shd w:val="clear" w:color="auto" w:fill="F4F6F5"/>
          </w:tcPr>
          <w:p>
            <w:pPr>
              <w:spacing w:before="20" w:after="20"/>
            </w:pPr>
            <w:r>
              <w:rPr>
                <w:rFonts w:ascii="Calibri" w:hAnsi="Calibri"/>
                <w:b w:val="0"/>
                <w:i w:val="0"/>
                <w:sz w:val="19"/>
              </w:rPr>
              <w:t>2</w:t>
            </w:r>
          </w:p>
        </w:tc>
        <w:tc>
          <w:tcPr>
            <w:tcW w:type="dxa" w:w="8928"/>
            <w:shd w:val="clear" w:color="auto" w:fill="F4F6F5"/>
          </w:tcPr>
          <w:p>
            <w:pPr>
              <w:spacing w:before="20" w:after="20"/>
            </w:pPr>
            <w:r>
              <w:rPr>
                <w:rFonts w:ascii="Calibri" w:hAnsi="Calibri"/>
                <w:b w:val="0"/>
                <w:i w:val="0"/>
                <w:sz w:val="19"/>
              </w:rPr>
              <w:t>An ordinary meeting at which the body must consider a proposal that both employer and worker members have already said publicly they oppose, for different reasons. Three other items are routine. The chair is new and has not previously chaired this body.</w:t>
            </w:r>
          </w:p>
        </w:tc>
      </w:tr>
      <w:tr>
        <w:trPr>
          <w:trHeight w:val="1296"/>
        </w:trPr>
        <w:tc>
          <w:tcPr>
            <w:tcW w:type="dxa" w:w="864"/>
          </w:tcPr>
          <w:p>
            <w:pPr>
              <w:spacing w:before="20" w:after="20"/>
            </w:pPr>
            <w:r>
              <w:rPr>
                <w:rFonts w:ascii="Calibri" w:hAnsi="Calibri"/>
                <w:b w:val="0"/>
                <w:i w:val="0"/>
                <w:sz w:val="19"/>
              </w:rPr>
              <w:t>3</w:t>
            </w:r>
          </w:p>
        </w:tc>
        <w:tc>
          <w:tcPr>
            <w:tcW w:type="dxa" w:w="8928"/>
          </w:tcPr>
          <w:p>
            <w:pPr>
              <w:spacing w:before="20" w:after="20"/>
            </w:pPr>
            <w:r>
              <w:rPr>
                <w:rFonts w:ascii="Calibri" w:hAnsi="Calibri"/>
                <w:b w:val="0"/>
                <w:i w:val="0"/>
                <w:sz w:val="19"/>
              </w:rPr>
              <w:t>An extraordinary meeting called at ten days’ notice on a single urgent question. Two members have asked to add further items. The rules allow extraordinary meetings only on the business for which they were called.</w:t>
            </w:r>
          </w:p>
        </w:tc>
      </w:tr>
      <w:tr>
        <w:trPr>
          <w:trHeight w:val="1296"/>
        </w:trPr>
        <w:tc>
          <w:tcPr>
            <w:tcW w:type="dxa" w:w="864"/>
            <w:shd w:val="clear" w:color="auto" w:fill="F4F6F5"/>
          </w:tcPr>
          <w:p>
            <w:pPr>
              <w:spacing w:before="20" w:after="20"/>
            </w:pPr>
            <w:r>
              <w:rPr>
                <w:rFonts w:ascii="Calibri" w:hAnsi="Calibri"/>
                <w:b w:val="0"/>
                <w:i w:val="0"/>
                <w:sz w:val="19"/>
              </w:rPr>
              <w:t>4</w:t>
            </w:r>
          </w:p>
        </w:tc>
        <w:tc>
          <w:tcPr>
            <w:tcW w:type="dxa" w:w="8928"/>
            <w:shd w:val="clear" w:color="auto" w:fill="F4F6F5"/>
          </w:tcPr>
          <w:p>
            <w:pPr>
              <w:spacing w:before="20" w:after="20"/>
            </w:pPr>
            <w:r>
              <w:rPr>
                <w:rFonts w:ascii="Calibri" w:hAnsi="Calibri"/>
                <w:b w:val="0"/>
                <w:i w:val="0"/>
                <w:sz w:val="19"/>
              </w:rPr>
              <w:t>An ordinary meeting where the main item is a technical proposal that none of the members has the expertise to assess. An external body has offered to present. Two other items are carried over from the last meeting, unreached.</w:t>
            </w:r>
          </w:p>
        </w:tc>
      </w:tr>
    </w:tbl>
    <w:p>
      <w:pPr>
        <w:spacing w:after="40"/>
      </w:pPr>
    </w:p>
    <w:p>
      <w:r>
        <w:br w:type="page"/>
      </w:r>
    </w:p>
    <w:p>
      <w:pPr>
        <w:spacing w:before="0" w:after="60"/>
      </w:pPr>
      <w:r>
        <w:rPr>
          <w:rFonts w:ascii="Calibri" w:hAnsi="Calibri"/>
          <w:b/>
          <w:i w:val="0"/>
          <w:color w:val="0D6652"/>
          <w:sz w:val="26"/>
        </w:rPr>
        <w:t>Step 1 — The agenda</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576"/>
            <w:shd w:val="clear" w:color="auto" w:fill="0D6652"/>
          </w:tcPr>
          <w:p>
            <w:pPr>
              <w:spacing w:before="20" w:after="40"/>
            </w:pPr>
            <w:r>
              <w:rPr>
                <w:rFonts w:ascii="Calibri" w:hAnsi="Calibri"/>
                <w:b/>
                <w:i w:val="0"/>
                <w:color w:val="FFFFFF"/>
                <w:sz w:val="19"/>
              </w:rPr>
              <w:t>No.</w:t>
            </w:r>
          </w:p>
        </w:tc>
        <w:tc>
          <w:tcPr>
            <w:tcW w:type="dxa" w:w="3456"/>
            <w:shd w:val="clear" w:color="auto" w:fill="0D6652"/>
          </w:tcPr>
          <w:p>
            <w:pPr>
              <w:spacing w:before="20" w:after="40"/>
            </w:pPr>
            <w:r>
              <w:rPr>
                <w:rFonts w:ascii="Calibri" w:hAnsi="Calibri"/>
                <w:b/>
                <w:i w:val="0"/>
                <w:color w:val="FFFFFF"/>
                <w:sz w:val="19"/>
              </w:rPr>
              <w:t>Item</w:t>
            </w:r>
          </w:p>
        </w:tc>
        <w:tc>
          <w:tcPr>
            <w:tcW w:type="dxa" w:w="2160"/>
            <w:shd w:val="clear" w:color="auto" w:fill="0D6652"/>
          </w:tcPr>
          <w:p>
            <w:pPr>
              <w:spacing w:before="20" w:after="40"/>
            </w:pPr>
            <w:r>
              <w:rPr>
                <w:rFonts w:ascii="Calibri" w:hAnsi="Calibri"/>
                <w:b/>
                <w:i w:val="0"/>
                <w:color w:val="FFFFFF"/>
                <w:sz w:val="19"/>
              </w:rPr>
              <w:t>Purpose</w:t>
              <w:br/>
              <w:t>(information / discussion / decision)</w:t>
            </w:r>
          </w:p>
        </w:tc>
        <w:tc>
          <w:tcPr>
            <w:tcW w:type="dxa" w:w="864"/>
            <w:shd w:val="clear" w:color="auto" w:fill="0D6652"/>
          </w:tcPr>
          <w:p>
            <w:pPr>
              <w:spacing w:before="20" w:after="40"/>
            </w:pPr>
            <w:r>
              <w:rPr>
                <w:rFonts w:ascii="Calibri" w:hAnsi="Calibri"/>
                <w:b/>
                <w:i w:val="0"/>
                <w:color w:val="FFFFFF"/>
                <w:sz w:val="19"/>
              </w:rPr>
              <w:t>Time</w:t>
            </w:r>
          </w:p>
        </w:tc>
        <w:tc>
          <w:tcPr>
            <w:tcW w:type="dxa" w:w="1296"/>
            <w:shd w:val="clear" w:color="auto" w:fill="0D6652"/>
          </w:tcPr>
          <w:p>
            <w:pPr>
              <w:spacing w:before="20" w:after="40"/>
            </w:pPr>
            <w:r>
              <w:rPr>
                <w:rFonts w:ascii="Calibri" w:hAnsi="Calibri"/>
                <w:b/>
                <w:i w:val="0"/>
                <w:color w:val="FFFFFF"/>
                <w:sz w:val="19"/>
              </w:rPr>
              <w:t>Paper</w:t>
            </w:r>
          </w:p>
        </w:tc>
        <w:tc>
          <w:tcPr>
            <w:tcW w:type="dxa" w:w="1440"/>
            <w:shd w:val="clear" w:color="auto" w:fill="0D6652"/>
          </w:tcPr>
          <w:p>
            <w:pPr>
              <w:spacing w:before="20" w:after="40"/>
            </w:pPr>
            <w:r>
              <w:rPr>
                <w:rFonts w:ascii="Calibri" w:hAnsi="Calibri"/>
                <w:b/>
                <w:i w:val="0"/>
                <w:color w:val="FFFFFF"/>
                <w:sz w:val="19"/>
              </w:rPr>
              <w:t>Draft conclusion attached?</w:t>
            </w:r>
          </w:p>
        </w:tc>
      </w:tr>
      <w:tr>
        <w:trPr>
          <w:trHeight w:val="605"/>
        </w:trPr>
        <w:tc>
          <w:tcPr>
            <w:tcW w:type="dxa" w:w="576"/>
          </w:tcPr>
          <w:p>
            <w:pPr>
              <w:spacing w:before="20" w:after="20"/>
            </w:pPr>
            <w:r>
              <w:rPr>
                <w:rFonts w:ascii="Calibri" w:hAnsi="Calibri"/>
                <w:b w:val="0"/>
                <w:i w:val="0"/>
                <w:sz w:val="19"/>
              </w:rPr>
              <w:t>1</w:t>
            </w:r>
          </w:p>
        </w:tc>
        <w:tc>
          <w:tcPr>
            <w:tcW w:type="dxa" w:w="3456"/>
          </w:tcPr>
          <w:p/>
        </w:tc>
        <w:tc>
          <w:tcPr>
            <w:tcW w:type="dxa" w:w="2160"/>
          </w:tcPr>
          <w:p/>
        </w:tc>
        <w:tc>
          <w:tcPr>
            <w:tcW w:type="dxa" w:w="864"/>
          </w:tcPr>
          <w:p/>
        </w:tc>
        <w:tc>
          <w:tcPr>
            <w:tcW w:type="dxa" w:w="1296"/>
          </w:tcPr>
          <w:p/>
        </w:tc>
        <w:tc>
          <w:tcPr>
            <w:tcW w:type="dxa" w:w="1440"/>
          </w:tcPr>
          <w:p/>
        </w:tc>
      </w:tr>
      <w:tr>
        <w:trPr>
          <w:trHeight w:val="605"/>
        </w:trPr>
        <w:tc>
          <w:tcPr>
            <w:tcW w:type="dxa" w:w="576"/>
            <w:shd w:val="clear" w:color="auto" w:fill="F4F6F5"/>
          </w:tcPr>
          <w:p>
            <w:pPr>
              <w:spacing w:before="20" w:after="20"/>
            </w:pPr>
            <w:r>
              <w:rPr>
                <w:rFonts w:ascii="Calibri" w:hAnsi="Calibri"/>
                <w:b w:val="0"/>
                <w:i w:val="0"/>
                <w:sz w:val="19"/>
              </w:rPr>
              <w:t>2</w:t>
            </w:r>
          </w:p>
        </w:tc>
        <w:tc>
          <w:tcPr>
            <w:tcW w:type="dxa" w:w="3456"/>
            <w:shd w:val="clear" w:color="auto" w:fill="F4F6F5"/>
          </w:tcPr>
          <w:p/>
        </w:tc>
        <w:tc>
          <w:tcPr>
            <w:tcW w:type="dxa" w:w="2160"/>
            <w:shd w:val="clear" w:color="auto" w:fill="F4F6F5"/>
          </w:tcPr>
          <w:p/>
        </w:tc>
        <w:tc>
          <w:tcPr>
            <w:tcW w:type="dxa" w:w="864"/>
            <w:shd w:val="clear" w:color="auto" w:fill="F4F6F5"/>
          </w:tcPr>
          <w:p/>
        </w:tc>
        <w:tc>
          <w:tcPr>
            <w:tcW w:type="dxa" w:w="1296"/>
            <w:shd w:val="clear" w:color="auto" w:fill="F4F6F5"/>
          </w:tcPr>
          <w:p/>
        </w:tc>
        <w:tc>
          <w:tcPr>
            <w:tcW w:type="dxa" w:w="1440"/>
            <w:shd w:val="clear" w:color="auto" w:fill="F4F6F5"/>
          </w:tcPr>
          <w:p/>
        </w:tc>
      </w:tr>
      <w:tr>
        <w:trPr>
          <w:trHeight w:val="605"/>
        </w:trPr>
        <w:tc>
          <w:tcPr>
            <w:tcW w:type="dxa" w:w="576"/>
          </w:tcPr>
          <w:p>
            <w:pPr>
              <w:spacing w:before="20" w:after="20"/>
            </w:pPr>
            <w:r>
              <w:rPr>
                <w:rFonts w:ascii="Calibri" w:hAnsi="Calibri"/>
                <w:b w:val="0"/>
                <w:i w:val="0"/>
                <w:sz w:val="19"/>
              </w:rPr>
              <w:t>3</w:t>
            </w:r>
          </w:p>
        </w:tc>
        <w:tc>
          <w:tcPr>
            <w:tcW w:type="dxa" w:w="3456"/>
          </w:tcPr>
          <w:p/>
        </w:tc>
        <w:tc>
          <w:tcPr>
            <w:tcW w:type="dxa" w:w="2160"/>
          </w:tcPr>
          <w:p/>
        </w:tc>
        <w:tc>
          <w:tcPr>
            <w:tcW w:type="dxa" w:w="864"/>
          </w:tcPr>
          <w:p/>
        </w:tc>
        <w:tc>
          <w:tcPr>
            <w:tcW w:type="dxa" w:w="1296"/>
          </w:tcPr>
          <w:p/>
        </w:tc>
        <w:tc>
          <w:tcPr>
            <w:tcW w:type="dxa" w:w="1440"/>
          </w:tcPr>
          <w:p/>
        </w:tc>
      </w:tr>
      <w:tr>
        <w:trPr>
          <w:trHeight w:val="605"/>
        </w:trPr>
        <w:tc>
          <w:tcPr>
            <w:tcW w:type="dxa" w:w="576"/>
            <w:shd w:val="clear" w:color="auto" w:fill="F4F6F5"/>
          </w:tcPr>
          <w:p>
            <w:pPr>
              <w:spacing w:before="20" w:after="20"/>
            </w:pPr>
            <w:r>
              <w:rPr>
                <w:rFonts w:ascii="Calibri" w:hAnsi="Calibri"/>
                <w:b w:val="0"/>
                <w:i w:val="0"/>
                <w:sz w:val="19"/>
              </w:rPr>
              <w:t>4</w:t>
            </w:r>
          </w:p>
        </w:tc>
        <w:tc>
          <w:tcPr>
            <w:tcW w:type="dxa" w:w="3456"/>
            <w:shd w:val="clear" w:color="auto" w:fill="F4F6F5"/>
          </w:tcPr>
          <w:p/>
        </w:tc>
        <w:tc>
          <w:tcPr>
            <w:tcW w:type="dxa" w:w="2160"/>
            <w:shd w:val="clear" w:color="auto" w:fill="F4F6F5"/>
          </w:tcPr>
          <w:p/>
        </w:tc>
        <w:tc>
          <w:tcPr>
            <w:tcW w:type="dxa" w:w="864"/>
            <w:shd w:val="clear" w:color="auto" w:fill="F4F6F5"/>
          </w:tcPr>
          <w:p/>
        </w:tc>
        <w:tc>
          <w:tcPr>
            <w:tcW w:type="dxa" w:w="1296"/>
            <w:shd w:val="clear" w:color="auto" w:fill="F4F6F5"/>
          </w:tcPr>
          <w:p/>
        </w:tc>
        <w:tc>
          <w:tcPr>
            <w:tcW w:type="dxa" w:w="1440"/>
            <w:shd w:val="clear" w:color="auto" w:fill="F4F6F5"/>
          </w:tcPr>
          <w:p/>
        </w:tc>
      </w:tr>
      <w:tr>
        <w:trPr>
          <w:trHeight w:val="605"/>
        </w:trPr>
        <w:tc>
          <w:tcPr>
            <w:tcW w:type="dxa" w:w="576"/>
          </w:tcPr>
          <w:p>
            <w:pPr>
              <w:spacing w:before="20" w:after="20"/>
            </w:pPr>
            <w:r>
              <w:rPr>
                <w:rFonts w:ascii="Calibri" w:hAnsi="Calibri"/>
                <w:b w:val="0"/>
                <w:i w:val="0"/>
                <w:sz w:val="19"/>
              </w:rPr>
              <w:t>5</w:t>
            </w:r>
          </w:p>
        </w:tc>
        <w:tc>
          <w:tcPr>
            <w:tcW w:type="dxa" w:w="3456"/>
          </w:tcPr>
          <w:p/>
        </w:tc>
        <w:tc>
          <w:tcPr>
            <w:tcW w:type="dxa" w:w="2160"/>
          </w:tcPr>
          <w:p/>
        </w:tc>
        <w:tc>
          <w:tcPr>
            <w:tcW w:type="dxa" w:w="864"/>
          </w:tcPr>
          <w:p/>
        </w:tc>
        <w:tc>
          <w:tcPr>
            <w:tcW w:type="dxa" w:w="1296"/>
          </w:tcPr>
          <w:p/>
        </w:tc>
        <w:tc>
          <w:tcPr>
            <w:tcW w:type="dxa" w:w="1440"/>
          </w:tcPr>
          <w:p/>
        </w:tc>
      </w:tr>
      <w:tr>
        <w:trPr>
          <w:trHeight w:val="605"/>
        </w:trPr>
        <w:tc>
          <w:tcPr>
            <w:tcW w:type="dxa" w:w="576"/>
            <w:shd w:val="clear" w:color="auto" w:fill="F4F6F5"/>
          </w:tcPr>
          <w:p>
            <w:pPr>
              <w:spacing w:before="20" w:after="20"/>
            </w:pPr>
            <w:r>
              <w:rPr>
                <w:rFonts w:ascii="Calibri" w:hAnsi="Calibri"/>
                <w:b w:val="0"/>
                <w:i w:val="0"/>
                <w:sz w:val="19"/>
              </w:rPr>
              <w:t>6</w:t>
            </w:r>
          </w:p>
        </w:tc>
        <w:tc>
          <w:tcPr>
            <w:tcW w:type="dxa" w:w="3456"/>
            <w:shd w:val="clear" w:color="auto" w:fill="F4F6F5"/>
          </w:tcPr>
          <w:p/>
        </w:tc>
        <w:tc>
          <w:tcPr>
            <w:tcW w:type="dxa" w:w="2160"/>
            <w:shd w:val="clear" w:color="auto" w:fill="F4F6F5"/>
          </w:tcPr>
          <w:p/>
        </w:tc>
        <w:tc>
          <w:tcPr>
            <w:tcW w:type="dxa" w:w="864"/>
            <w:shd w:val="clear" w:color="auto" w:fill="F4F6F5"/>
          </w:tcPr>
          <w:p/>
        </w:tc>
        <w:tc>
          <w:tcPr>
            <w:tcW w:type="dxa" w:w="1296"/>
            <w:shd w:val="clear" w:color="auto" w:fill="F4F6F5"/>
          </w:tcPr>
          <w:p/>
        </w:tc>
        <w:tc>
          <w:tcPr>
            <w:tcW w:type="dxa" w:w="1440"/>
            <w:shd w:val="clear" w:color="auto" w:fill="F4F6F5"/>
          </w:tcPr>
          <w:p/>
        </w:tc>
      </w:tr>
      <w:tr>
        <w:trPr>
          <w:trHeight w:val="605"/>
        </w:trPr>
        <w:tc>
          <w:tcPr>
            <w:tcW w:type="dxa" w:w="576"/>
          </w:tcPr>
          <w:p>
            <w:pPr>
              <w:spacing w:before="20" w:after="20"/>
            </w:pPr>
            <w:r>
              <w:rPr>
                <w:rFonts w:ascii="Calibri" w:hAnsi="Calibri"/>
                <w:b w:val="0"/>
                <w:i w:val="0"/>
                <w:sz w:val="19"/>
              </w:rPr>
              <w:t>7</w:t>
            </w:r>
          </w:p>
        </w:tc>
        <w:tc>
          <w:tcPr>
            <w:tcW w:type="dxa" w:w="3456"/>
          </w:tcPr>
          <w:p/>
        </w:tc>
        <w:tc>
          <w:tcPr>
            <w:tcW w:type="dxa" w:w="2160"/>
          </w:tcPr>
          <w:p/>
        </w:tc>
        <w:tc>
          <w:tcPr>
            <w:tcW w:type="dxa" w:w="864"/>
          </w:tcPr>
          <w:p/>
        </w:tc>
        <w:tc>
          <w:tcPr>
            <w:tcW w:type="dxa" w:w="1296"/>
          </w:tcPr>
          <w:p/>
        </w:tc>
        <w:tc>
          <w:tcPr>
            <w:tcW w:type="dxa" w:w="1440"/>
          </w:tcPr>
          <w:p/>
        </w:tc>
      </w:tr>
    </w:tbl>
    <w:p>
      <w:pPr>
        <w:spacing w:after="40"/>
      </w:pPr>
    </w:p>
    <w:p>
      <w:pPr>
        <w:spacing w:before="120" w:after="60"/>
      </w:pPr>
      <w:r>
        <w:rPr>
          <w:rFonts w:ascii="Calibri" w:hAnsi="Calibri"/>
          <w:b/>
          <w:i w:val="0"/>
          <w:color w:val="0D6652"/>
          <w:sz w:val="26"/>
        </w:rPr>
        <w:t>Step 2 — The notice</w:t>
      </w:r>
    </w:p>
    <w:tbl>
      <w:tblPr>
        <w:tblStyle w:val="TableGrid"/>
        <w:tblW w:type="auto" w:w="0"/>
        <w:jc w:val="left"/>
        <w:tblLook w:firstColumn="1" w:firstRow="1" w:lastColumn="0" w:lastRow="0" w:noHBand="0" w:noVBand="1" w:val="04A0"/>
      </w:tblPr>
      <w:tblGrid>
        <w:gridCol w:w="5040"/>
        <w:gridCol w:w="5040"/>
      </w:tblGrid>
      <w:tr>
        <w:tc>
          <w:tcPr>
            <w:tcW w:type="dxa" w:w="3888"/>
            <w:shd w:val="clear" w:color="auto" w:fill="0D6652"/>
          </w:tcPr>
          <w:p>
            <w:pPr>
              <w:spacing w:before="20" w:after="40"/>
            </w:pPr>
            <w:r>
              <w:rPr>
                <w:rFonts w:ascii="Calibri" w:hAnsi="Calibri"/>
                <w:b/>
                <w:i w:val="0"/>
                <w:color w:val="FFFFFF"/>
                <w:sz w:val="19"/>
              </w:rPr>
              <w:t>Element</w:t>
            </w:r>
          </w:p>
        </w:tc>
        <w:tc>
          <w:tcPr>
            <w:tcW w:type="dxa" w:w="5904"/>
            <w:shd w:val="clear" w:color="auto" w:fill="0D6652"/>
          </w:tcPr>
          <w:p>
            <w:pPr>
              <w:spacing w:before="20" w:after="40"/>
            </w:pPr>
            <w:r>
              <w:rPr>
                <w:rFonts w:ascii="Calibri" w:hAnsi="Calibri"/>
                <w:b/>
                <w:i w:val="0"/>
                <w:color w:val="FFFFFF"/>
                <w:sz w:val="19"/>
              </w:rPr>
              <w:t>Your entry</w:t>
            </w:r>
          </w:p>
        </w:tc>
      </w:tr>
      <w:tr>
        <w:trPr>
          <w:trHeight w:val="648"/>
        </w:trPr>
        <w:tc>
          <w:tcPr>
            <w:tcW w:type="dxa" w:w="3888"/>
          </w:tcPr>
          <w:p>
            <w:pPr>
              <w:spacing w:before="20" w:after="20"/>
            </w:pPr>
            <w:r>
              <w:rPr>
                <w:rFonts w:ascii="Calibri" w:hAnsi="Calibri"/>
                <w:b w:val="0"/>
                <w:i w:val="0"/>
                <w:sz w:val="19"/>
              </w:rPr>
              <w:t>Type of meeting, number and date</w:t>
            </w:r>
          </w:p>
        </w:tc>
        <w:tc>
          <w:tcPr>
            <w:tcW w:type="dxa" w:w="5904"/>
          </w:tcPr>
          <w:p/>
        </w:tc>
      </w:tr>
      <w:tr>
        <w:trPr>
          <w:trHeight w:val="648"/>
        </w:trPr>
        <w:tc>
          <w:tcPr>
            <w:tcW w:type="dxa" w:w="3888"/>
          </w:tcPr>
          <w:p>
            <w:pPr>
              <w:spacing w:before="20" w:after="20"/>
            </w:pPr>
            <w:r>
              <w:rPr>
                <w:rFonts w:ascii="Calibri" w:hAnsi="Calibri"/>
                <w:b w:val="0"/>
                <w:i w:val="0"/>
                <w:sz w:val="19"/>
              </w:rPr>
              <w:t>Date of dispatch, and days of notice given</w:t>
            </w:r>
          </w:p>
        </w:tc>
        <w:tc>
          <w:tcPr>
            <w:tcW w:type="dxa" w:w="5904"/>
          </w:tcPr>
          <w:p/>
        </w:tc>
      </w:tr>
      <w:tr>
        <w:trPr>
          <w:trHeight w:val="648"/>
        </w:trPr>
        <w:tc>
          <w:tcPr>
            <w:tcW w:type="dxa" w:w="3888"/>
          </w:tcPr>
          <w:p>
            <w:pPr>
              <w:spacing w:before="20" w:after="20"/>
            </w:pPr>
            <w:r>
              <w:rPr>
                <w:rFonts w:ascii="Calibri" w:hAnsi="Calibri"/>
                <w:b w:val="0"/>
                <w:i w:val="0"/>
                <w:sz w:val="19"/>
              </w:rPr>
              <w:t>Quorum required, and quorum by constituency</w:t>
            </w:r>
          </w:p>
        </w:tc>
        <w:tc>
          <w:tcPr>
            <w:tcW w:type="dxa" w:w="5904"/>
          </w:tcPr>
          <w:p/>
        </w:tc>
      </w:tr>
      <w:tr>
        <w:trPr>
          <w:trHeight w:val="648"/>
        </w:trPr>
        <w:tc>
          <w:tcPr>
            <w:tcW w:type="dxa" w:w="3888"/>
          </w:tcPr>
          <w:p>
            <w:pPr>
              <w:spacing w:before="20" w:after="20"/>
            </w:pPr>
            <w:r>
              <w:rPr>
                <w:rFonts w:ascii="Calibri" w:hAnsi="Calibri"/>
                <w:b w:val="0"/>
                <w:i w:val="0"/>
                <w:sz w:val="19"/>
              </w:rPr>
              <w:t>Venue, time and expected duration</w:t>
            </w:r>
          </w:p>
        </w:tc>
        <w:tc>
          <w:tcPr>
            <w:tcW w:type="dxa" w:w="5904"/>
          </w:tcPr>
          <w:p/>
        </w:tc>
      </w:tr>
      <w:tr>
        <w:trPr>
          <w:trHeight w:val="648"/>
        </w:trPr>
        <w:tc>
          <w:tcPr>
            <w:tcW w:type="dxa" w:w="3888"/>
          </w:tcPr>
          <w:p>
            <w:pPr>
              <w:spacing w:before="20" w:after="20"/>
            </w:pPr>
            <w:r>
              <w:rPr>
                <w:rFonts w:ascii="Calibri" w:hAnsi="Calibri"/>
                <w:b w:val="0"/>
                <w:i w:val="0"/>
                <w:sz w:val="19"/>
              </w:rPr>
              <w:t>Working documents enclosed (list by reference)</w:t>
            </w:r>
          </w:p>
        </w:tc>
        <w:tc>
          <w:tcPr>
            <w:tcW w:type="dxa" w:w="5904"/>
          </w:tcPr>
          <w:p/>
        </w:tc>
      </w:tr>
      <w:tr>
        <w:trPr>
          <w:trHeight w:val="648"/>
        </w:trPr>
        <w:tc>
          <w:tcPr>
            <w:tcW w:type="dxa" w:w="3888"/>
          </w:tcPr>
          <w:p>
            <w:pPr>
              <w:spacing w:before="20" w:after="20"/>
            </w:pPr>
            <w:r>
              <w:rPr>
                <w:rFonts w:ascii="Calibri" w:hAnsi="Calibri"/>
                <w:b w:val="0"/>
                <w:i w:val="0"/>
                <w:sz w:val="19"/>
              </w:rPr>
              <w:t>How and by when members may propose amendments to the agenda</w:t>
            </w:r>
          </w:p>
        </w:tc>
        <w:tc>
          <w:tcPr>
            <w:tcW w:type="dxa" w:w="5904"/>
          </w:tcPr>
          <w:p/>
        </w:tc>
      </w:tr>
    </w:tbl>
    <w:p>
      <w:pPr>
        <w:spacing w:after="40"/>
      </w:pPr>
    </w:p>
    <w:p>
      <w:pPr>
        <w:spacing w:before="120" w:after="60"/>
      </w:pPr>
      <w:r>
        <w:rPr>
          <w:rFonts w:ascii="Calibri" w:hAnsi="Calibri"/>
          <w:b/>
          <w:i w:val="0"/>
          <w:color w:val="0D6652"/>
          <w:sz w:val="26"/>
        </w:rPr>
        <w:t>Step 3 — The chair’s review</w:t>
      </w:r>
    </w:p>
    <w:p>
      <w:pPr>
        <w:spacing w:before="0" w:after="60"/>
      </w:pPr>
      <w:r>
        <w:rPr>
          <w:rFonts w:ascii="Calibri" w:hAnsi="Calibri"/>
          <w:b w:val="0"/>
          <w:i/>
          <w:color w:val="595959"/>
          <w:sz w:val="20"/>
        </w:rPr>
        <w:t>The chair must challenge at least two items — on sequencing, on purpose, or on whether the item belongs at all.</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What the chair challenged</w:t>
            </w:r>
          </w:p>
        </w:tc>
        <w:tc>
          <w:tcPr>
            <w:tcW w:type="dxa" w:w="3744"/>
            <w:shd w:val="clear" w:color="auto" w:fill="0D6652"/>
          </w:tcPr>
          <w:p>
            <w:pPr>
              <w:spacing w:before="20" w:after="40"/>
            </w:pPr>
            <w:r>
              <w:rPr>
                <w:rFonts w:ascii="Calibri" w:hAnsi="Calibri"/>
                <w:b/>
                <w:i w:val="0"/>
                <w:color w:val="FFFFFF"/>
                <w:sz w:val="19"/>
              </w:rPr>
              <w:t>Your justification — from the rules or from practice?</w:t>
            </w:r>
          </w:p>
        </w:tc>
        <w:tc>
          <w:tcPr>
            <w:tcW w:type="dxa" w:w="2880"/>
            <w:shd w:val="clear" w:color="auto" w:fill="0D6652"/>
          </w:tcPr>
          <w:p>
            <w:pPr>
              <w:spacing w:before="20" w:after="40"/>
            </w:pPr>
            <w:r>
              <w:rPr>
                <w:rFonts w:ascii="Calibri" w:hAnsi="Calibri"/>
                <w:b/>
                <w:i w:val="0"/>
                <w:color w:val="FFFFFF"/>
                <w:sz w:val="19"/>
              </w:rPr>
              <w:t>What you changed</w:t>
            </w:r>
          </w:p>
        </w:tc>
      </w:tr>
      <w:tr>
        <w:trPr>
          <w:trHeight w:val="864"/>
        </w:trPr>
        <w:tc>
          <w:tcPr>
            <w:tcW w:type="dxa" w:w="3168"/>
          </w:tcPr>
          <w:p/>
        </w:tc>
        <w:tc>
          <w:tcPr>
            <w:tcW w:type="dxa" w:w="3744"/>
          </w:tcPr>
          <w:p/>
        </w:tc>
        <w:tc>
          <w:tcPr>
            <w:tcW w:type="dxa" w:w="2880"/>
          </w:tcPr>
          <w:p/>
        </w:tc>
      </w:tr>
      <w:tr>
        <w:trPr>
          <w:trHeight w:val="864"/>
        </w:trPr>
        <w:tc>
          <w:tcPr>
            <w:tcW w:type="dxa" w:w="3168"/>
          </w:tcPr>
          <w:p/>
        </w:tc>
        <w:tc>
          <w:tcPr>
            <w:tcW w:type="dxa" w:w="3744"/>
          </w:tcPr>
          <w:p/>
        </w:tc>
        <w:tc>
          <w:tcPr>
            <w:tcW w:type="dxa" w:w="2880"/>
          </w:tcPr>
          <w:p/>
        </w:tc>
      </w:tr>
    </w:tbl>
    <w:p>
      <w:pPr>
        <w:spacing w:after="40"/>
      </w:pPr>
    </w:p>
    <w:p>
      <w:pPr>
        <w:spacing w:before="120" w:after="60"/>
      </w:pPr>
      <w:r>
        <w:rPr>
          <w:rFonts w:ascii="Calibri" w:hAnsi="Calibri"/>
          <w:b/>
          <w:i w:val="0"/>
          <w:color w:val="0D6652"/>
          <w:sz w:val="26"/>
        </w:rPr>
        <w:t>Step 4 — Back in your own institution</w:t>
      </w:r>
    </w:p>
    <w:p>
      <w:pPr>
        <w:spacing w:before="0" w:after="60"/>
      </w:pPr>
      <w:r>
        <w:rPr>
          <w:rFonts w:ascii="Calibri" w:hAnsi="Calibri"/>
          <w:b/>
          <w:i w:val="0"/>
          <w:sz w:val="21"/>
        </w:rPr>
        <w:t>One change you will make to your own agenda next week:</w:t>
      </w:r>
    </w:p>
    <w:tbl>
      <w:tblPr>
        <w:tblW w:type="auto" w:w="0"/>
        <w:jc w:val="left"/>
        <w:tblLook w:firstColumn="1" w:firstRow="1" w:lastColumn="0" w:lastRow="0" w:noHBand="0" w:noVBand="1" w:val="04A0"/>
        <w:tblBorders>
          <w:top w:val="none" w:sz="0"/>
          <w:left w:val="none" w:sz="0"/>
          <w:right w:val="none" w:sz="0"/>
          <w:insideV w:val="none" w:sz="0"/>
          <w:bottom w:val="single" w:sz="4" w:color="BFBFBF"/>
          <w:insideH w:val="single" w:sz="4" w:color="BFBFBF"/>
        </w:tblBorders>
      </w:tblPr>
      <w:tblGrid>
        <w:gridCol w:w="10080"/>
      </w:tblGrid>
      <w:tr>
        <w:trPr>
          <w:trHeight w:val="432"/>
        </w:trPr>
        <w:tc>
          <w:tcPr>
            <w:tcW w:type="dxa" w:w="9792"/>
          </w:tcPr>
          <w:p>
            <w:pPr>
              <w:spacing w:after="0"/>
            </w:pPr>
          </w:p>
        </w:tc>
      </w:tr>
      <w:tr>
        <w:trPr>
          <w:trHeight w:val="432"/>
        </w:trPr>
        <w:tc>
          <w:tcPr>
            <w:tcW w:type="dxa" w:w="9792"/>
          </w:tcPr>
          <w:p>
            <w:pPr>
              <w:spacing w:after="0"/>
            </w:pPr>
          </w:p>
        </w:tc>
      </w:tr>
    </w:tbl>
    <w:p>
      <w:pPr>
        <w:spacing w:after="4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A3519988  ·  Handout 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International Training Centre of the ILO   |   A3519988   |   Strengthening the Capacities of the Secretariats of TSDIs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