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95959"/>
          <w:sz w:val="18"/>
        </w:rPr>
        <w:t>PARTICIPANT HANDOUT 4.1</w:t>
      </w:r>
    </w:p>
    <w:p>
      <w:pPr>
        <w:spacing w:before="0" w:after="60"/>
      </w:pPr>
      <w:r>
        <w:rPr>
          <w:rFonts w:ascii="Calibri" w:hAnsi="Calibri"/>
          <w:b/>
          <w:i w:val="0"/>
          <w:color w:val="0E2841"/>
          <w:sz w:val="32"/>
        </w:rPr>
        <w:t>The minutes audit</w:t>
      </w:r>
    </w:p>
    <w:p>
      <w:pPr>
        <w:spacing w:before="0" w:after="200"/>
      </w:pPr>
      <w:r>
        <w:rPr>
          <w:rFonts w:ascii="Calibri" w:hAnsi="Calibri"/>
          <w:b/>
          <w:i w:val="0"/>
          <w:color w:val="0D6652"/>
          <w:sz w:val="20"/>
        </w:rPr>
        <w:t>Session 4 — Day one, 15:30–16:30   ·   12 minutes   ·   Four groups</w:t>
      </w:r>
    </w:p>
    <w:p>
      <w:pPr>
        <w:spacing w:before="0" w:after="160"/>
      </w:pPr>
      <w:r>
        <w:rPr>
          <w:rFonts w:ascii="Calibri" w:hAnsi="Calibri"/>
          <w:b/>
          <w:i w:val="0"/>
          <w:color w:val="E72F1F"/>
          <w:sz w:val="19"/>
        </w:rPr>
        <w:t>TRAINING MATERIAL — SIMULATED MINUTES. Written for this exercise, and deliberately flawed. The institution, the people and the business are invented.</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10080"/>
      </w:tblGrid>
      <w:tr>
        <w:tc>
          <w:tcPr>
            <w:tcW w:type="dxa" w:w="10080"/>
            <w:shd w:val="clear" w:color="auto" w:fill="0D6652"/>
          </w:tcPr>
          <w:p>
            <w:pPr>
              <w:spacing w:before="60" w:after="60"/>
            </w:pPr>
            <w:r>
              <w:rPr>
                <w:rFonts w:ascii="Calibri" w:hAnsi="Calibri"/>
                <w:b/>
                <w:color w:val="FFFFFF"/>
                <w:sz w:val="20"/>
              </w:rPr>
              <w:t>TASK</w:t>
            </w:r>
            <w:r>
              <w:rPr>
                <w:rFonts w:ascii="Calibri" w:hAnsi="Calibri"/>
                <w:color w:val="D6E4E0"/>
                <w:sz w:val="20"/>
              </w:rPr>
              <w:t xml:space="preserve">    Mark every place where a decision is stated too vaguely to track, rewrite each one in the standard form, and extract the action sheet.</w:t>
            </w:r>
          </w:p>
        </w:tc>
      </w:tr>
    </w:tbl>
    <w:p>
      <w:pPr>
        <w:spacing w:after="40"/>
      </w:pPr>
    </w:p>
    <w:p>
      <w:pPr>
        <w:spacing w:before="160" w:after="80"/>
      </w:pPr>
      <w:r>
        <w:rPr>
          <w:rFonts w:ascii="Calibri" w:hAnsi="Calibri"/>
          <w:b/>
          <w:i w:val="0"/>
          <w:color w:val="0D6652"/>
          <w:sz w:val="26"/>
        </w:rPr>
        <w:t>Draft minutes for audit</w:t>
      </w:r>
    </w:p>
    <w:p>
      <w:pPr>
        <w:spacing w:before="0" w:after="40"/>
      </w:pPr>
      <w:r>
        <w:rPr>
          <w:rFonts w:ascii="Calibri" w:hAnsi="Calibri"/>
          <w:b/>
          <w:i w:val="0"/>
          <w:color w:val="0E2841"/>
          <w:sz w:val="22"/>
        </w:rPr>
        <w:t>NATIONAL CONSULTATIVE BODY — ORDINARY MEETING</w:t>
      </w:r>
    </w:p>
    <w:p>
      <w:pPr>
        <w:spacing w:before="0" w:after="120"/>
      </w:pPr>
      <w:r>
        <w:rPr>
          <w:rFonts w:ascii="Calibri" w:hAnsi="Calibri"/>
          <w:b w:val="0"/>
          <w:i w:val="0"/>
          <w:sz w:val="21"/>
        </w:rPr>
        <w:t>Minutes of the meeting held on [date] at the Ministry conference room.</w:t>
      </w:r>
    </w:p>
    <w:p>
      <w:pPr>
        <w:spacing w:before="140" w:after="40"/>
      </w:pPr>
      <w:r>
        <w:rPr>
          <w:rFonts w:ascii="Calibri" w:hAnsi="Calibri"/>
          <w:b/>
          <w:i w:val="0"/>
          <w:color w:val="0E2841"/>
          <w:sz w:val="22"/>
        </w:rPr>
        <w:t>1.  Opening</w:t>
      </w:r>
    </w:p>
    <w:p>
      <w:pPr>
        <w:spacing w:before="0" w:after="40"/>
      </w:pPr>
      <w:r>
        <w:rPr>
          <w:rFonts w:ascii="Calibri" w:hAnsi="Calibri"/>
          <w:b w:val="0"/>
          <w:i w:val="0"/>
          <w:sz w:val="21"/>
        </w:rPr>
        <w:t>The Chairperson welcomed members and thanked them for attending. Apologies were received from several members. The minutes of the previous meeting were adopted.</w:t>
      </w:r>
    </w:p>
    <w:p>
      <w:pPr>
        <w:spacing w:before="140" w:after="40"/>
      </w:pPr>
      <w:r>
        <w:rPr>
          <w:rFonts w:ascii="Calibri" w:hAnsi="Calibri"/>
          <w:b/>
          <w:i w:val="0"/>
          <w:color w:val="0E2841"/>
          <w:sz w:val="22"/>
        </w:rPr>
        <w:t>2.  Review of the grievance registration system</w:t>
      </w:r>
    </w:p>
    <w:p>
      <w:pPr>
        <w:spacing w:before="0" w:after="40"/>
      </w:pPr>
      <w:r>
        <w:rPr>
          <w:rFonts w:ascii="Calibri" w:hAnsi="Calibri"/>
          <w:b w:val="0"/>
          <w:i w:val="0"/>
          <w:sz w:val="21"/>
        </w:rPr>
        <w:t>The worker representative expressed strong concern about the accessibility of the current registration system, noting that women workers in particular face difficulties. The employer representative responded that the system functions adequately and that further changes would create administrative burden. Various members expressed views. After extensive discussion it was agreed that the system needs to be reviewed to make it more accessible, especially for women workers, and that this matter will be followed up.</w:t>
      </w:r>
    </w:p>
    <w:p>
      <w:pPr>
        <w:spacing w:before="140" w:after="40"/>
      </w:pPr>
      <w:r>
        <w:rPr>
          <w:rFonts w:ascii="Calibri" w:hAnsi="Calibri"/>
          <w:b/>
          <w:i w:val="0"/>
          <w:color w:val="0E2841"/>
          <w:sz w:val="22"/>
        </w:rPr>
        <w:t>3.  Industrial dispute statistics</w:t>
      </w:r>
    </w:p>
    <w:p>
      <w:pPr>
        <w:spacing w:before="0" w:after="40"/>
      </w:pPr>
      <w:r>
        <w:rPr>
          <w:rFonts w:ascii="Calibri" w:hAnsi="Calibri"/>
          <w:b w:val="0"/>
          <w:i w:val="0"/>
          <w:sz w:val="21"/>
        </w:rPr>
        <w:t>The Chairperson noted that the Committee had requested updated statistics at its last two meetings. The Government representative indicated that the Ministry will look into it and revert in due course.</w:t>
      </w:r>
    </w:p>
    <w:p>
      <w:pPr>
        <w:spacing w:before="140" w:after="40"/>
      </w:pPr>
      <w:r>
        <w:rPr>
          <w:rFonts w:ascii="Calibri" w:hAnsi="Calibri"/>
          <w:b/>
          <w:i w:val="0"/>
          <w:color w:val="0E2841"/>
          <w:sz w:val="22"/>
        </w:rPr>
        <w:t>4.  Draft rules on workplace committees</w:t>
      </w:r>
    </w:p>
    <w:p>
      <w:pPr>
        <w:spacing w:before="0" w:after="40"/>
      </w:pPr>
      <w:r>
        <w:rPr>
          <w:rFonts w:ascii="Calibri" w:hAnsi="Calibri"/>
          <w:b w:val="0"/>
          <w:i w:val="0"/>
          <w:sz w:val="21"/>
        </w:rPr>
        <w:t>The draft rules were presented. Members discussed the proposed thresholds at length. The Committee noted with concern that the consultation period had been short. It was agreed that the draft rules are broadly acceptable subject to the comments made.</w:t>
      </w:r>
    </w:p>
    <w:p>
      <w:pPr>
        <w:spacing w:before="140" w:after="40"/>
      </w:pPr>
      <w:r>
        <w:rPr>
          <w:rFonts w:ascii="Calibri" w:hAnsi="Calibri"/>
          <w:b/>
          <w:i w:val="0"/>
          <w:color w:val="0E2841"/>
          <w:sz w:val="22"/>
        </w:rPr>
        <w:t>5.  Proposal for a technical sub-committee</w:t>
      </w:r>
    </w:p>
    <w:p>
      <w:pPr>
        <w:spacing w:before="0" w:after="40"/>
      </w:pPr>
      <w:r>
        <w:rPr>
          <w:rFonts w:ascii="Calibri" w:hAnsi="Calibri"/>
          <w:b w:val="0"/>
          <w:i w:val="0"/>
          <w:sz w:val="21"/>
        </w:rPr>
        <w:t>A proposal was made to establish a technical sub-committee on occupational safety. There was general support for the idea. The Committee agreed that this should be taken forward as soon as possible.</w:t>
      </w:r>
    </w:p>
    <w:p>
      <w:pPr>
        <w:spacing w:before="140" w:after="40"/>
      </w:pPr>
      <w:r>
        <w:rPr>
          <w:rFonts w:ascii="Calibri" w:hAnsi="Calibri"/>
          <w:b/>
          <w:i w:val="0"/>
          <w:color w:val="0E2841"/>
          <w:sz w:val="22"/>
        </w:rPr>
        <w:t>6.  Any other business</w:t>
      </w:r>
    </w:p>
    <w:p>
      <w:pPr>
        <w:spacing w:before="0" w:after="40"/>
      </w:pPr>
      <w:r>
        <w:rPr>
          <w:rFonts w:ascii="Calibri" w:hAnsi="Calibri"/>
          <w:b w:val="0"/>
          <w:i w:val="0"/>
          <w:sz w:val="21"/>
        </w:rPr>
        <w:t>A member raised the question of allowances for members travelling from outside the capital. After discussion the Chairperson said this would be examined. Another member raised the forthcoming International Labour Conference. The meeting closed at 4.45 p.m.</w:t>
      </w:r>
    </w:p>
    <w:p>
      <w:r>
        <w:br w:type="page"/>
      </w:r>
    </w:p>
    <w:p>
      <w:pPr>
        <w:spacing w:before="0" w:after="60"/>
      </w:pPr>
      <w:r>
        <w:rPr>
          <w:rFonts w:ascii="Calibri" w:hAnsi="Calibri"/>
          <w:b/>
          <w:i w:val="0"/>
          <w:color w:val="0D6652"/>
          <w:sz w:val="26"/>
        </w:rPr>
        <w:t>Step 1 — Rewrite the decisions</w:t>
      </w:r>
    </w:p>
    <w:tbl>
      <w:tblPr>
        <w:tblStyle w:val="TableGrid"/>
        <w:tblW w:type="auto" w:w="0"/>
        <w:jc w:val="left"/>
        <w:tblLook w:firstColumn="1" w:firstRow="1" w:lastColumn="0" w:lastRow="0" w:noHBand="0" w:noVBand="1" w:val="04A0"/>
      </w:tblPr>
      <w:tblGrid>
        <w:gridCol w:w="3360"/>
        <w:gridCol w:w="3360"/>
        <w:gridCol w:w="3360"/>
      </w:tblGrid>
      <w:tr>
        <w:tc>
          <w:tcPr>
            <w:tcW w:type="dxa" w:w="720"/>
            <w:shd w:val="clear" w:color="auto" w:fill="0D6652"/>
          </w:tcPr>
          <w:p>
            <w:pPr>
              <w:spacing w:before="20" w:after="40"/>
            </w:pPr>
            <w:r>
              <w:rPr>
                <w:rFonts w:ascii="Calibri" w:hAnsi="Calibri"/>
                <w:b/>
                <w:i w:val="0"/>
                <w:color w:val="FFFFFF"/>
                <w:sz w:val="19"/>
              </w:rPr>
              <w:t>Item</w:t>
            </w:r>
          </w:p>
        </w:tc>
        <w:tc>
          <w:tcPr>
            <w:tcW w:type="dxa" w:w="3744"/>
            <w:shd w:val="clear" w:color="auto" w:fill="0D6652"/>
          </w:tcPr>
          <w:p>
            <w:pPr>
              <w:spacing w:before="20" w:after="40"/>
            </w:pPr>
            <w:r>
              <w:rPr>
                <w:rFonts w:ascii="Calibri" w:hAnsi="Calibri"/>
                <w:b/>
                <w:i w:val="0"/>
                <w:color w:val="FFFFFF"/>
                <w:sz w:val="19"/>
              </w:rPr>
              <w:t>What is wrong with it as drafted</w:t>
            </w:r>
          </w:p>
        </w:tc>
        <w:tc>
          <w:tcPr>
            <w:tcW w:type="dxa" w:w="5328"/>
            <w:shd w:val="clear" w:color="auto" w:fill="0D6652"/>
          </w:tcPr>
          <w:p>
            <w:pPr>
              <w:spacing w:before="20" w:after="40"/>
            </w:pPr>
            <w:r>
              <w:rPr>
                <w:rFonts w:ascii="Calibri" w:hAnsi="Calibri"/>
                <w:b/>
                <w:i w:val="0"/>
                <w:color w:val="FFFFFF"/>
                <w:sz w:val="19"/>
              </w:rPr>
              <w:t>Rewritten decision</w:t>
              <w:br/>
              <w:t>(what, who, by when, how verified)</w:t>
            </w:r>
          </w:p>
        </w:tc>
      </w:tr>
      <w:tr>
        <w:trPr>
          <w:trHeight w:val="1008"/>
        </w:trPr>
        <w:tc>
          <w:tcPr>
            <w:tcW w:type="dxa" w:w="720"/>
          </w:tcPr>
          <w:p>
            <w:pPr>
              <w:spacing w:before="20" w:after="20"/>
            </w:pPr>
            <w:r>
              <w:rPr>
                <w:rFonts w:ascii="Calibri" w:hAnsi="Calibri"/>
                <w:b w:val="0"/>
                <w:i w:val="0"/>
                <w:sz w:val="19"/>
              </w:rPr>
              <w:t>2</w:t>
            </w:r>
          </w:p>
        </w:tc>
        <w:tc>
          <w:tcPr>
            <w:tcW w:type="dxa" w:w="3744"/>
          </w:tcPr>
          <w:p/>
        </w:tc>
        <w:tc>
          <w:tcPr>
            <w:tcW w:type="dxa" w:w="5328"/>
          </w:tcPr>
          <w:p/>
        </w:tc>
      </w:tr>
      <w:tr>
        <w:trPr>
          <w:trHeight w:val="1008"/>
        </w:trPr>
        <w:tc>
          <w:tcPr>
            <w:tcW w:type="dxa" w:w="720"/>
            <w:shd w:val="clear" w:color="auto" w:fill="F4F6F5"/>
          </w:tcPr>
          <w:p>
            <w:pPr>
              <w:spacing w:before="20" w:after="20"/>
            </w:pPr>
            <w:r>
              <w:rPr>
                <w:rFonts w:ascii="Calibri" w:hAnsi="Calibri"/>
                <w:b w:val="0"/>
                <w:i w:val="0"/>
                <w:sz w:val="19"/>
              </w:rPr>
              <w:t>3</w:t>
            </w:r>
          </w:p>
        </w:tc>
        <w:tc>
          <w:tcPr>
            <w:tcW w:type="dxa" w:w="3744"/>
            <w:shd w:val="clear" w:color="auto" w:fill="F4F6F5"/>
          </w:tcPr>
          <w:p/>
        </w:tc>
        <w:tc>
          <w:tcPr>
            <w:tcW w:type="dxa" w:w="5328"/>
            <w:shd w:val="clear" w:color="auto" w:fill="F4F6F5"/>
          </w:tcPr>
          <w:p/>
        </w:tc>
      </w:tr>
      <w:tr>
        <w:trPr>
          <w:trHeight w:val="1008"/>
        </w:trPr>
        <w:tc>
          <w:tcPr>
            <w:tcW w:type="dxa" w:w="720"/>
          </w:tcPr>
          <w:p>
            <w:pPr>
              <w:spacing w:before="20" w:after="20"/>
            </w:pPr>
            <w:r>
              <w:rPr>
                <w:rFonts w:ascii="Calibri" w:hAnsi="Calibri"/>
                <w:b w:val="0"/>
                <w:i w:val="0"/>
                <w:sz w:val="19"/>
              </w:rPr>
              <w:t>4</w:t>
            </w:r>
          </w:p>
        </w:tc>
        <w:tc>
          <w:tcPr>
            <w:tcW w:type="dxa" w:w="3744"/>
          </w:tcPr>
          <w:p/>
        </w:tc>
        <w:tc>
          <w:tcPr>
            <w:tcW w:type="dxa" w:w="5328"/>
          </w:tcPr>
          <w:p/>
        </w:tc>
      </w:tr>
      <w:tr>
        <w:trPr>
          <w:trHeight w:val="1008"/>
        </w:trPr>
        <w:tc>
          <w:tcPr>
            <w:tcW w:type="dxa" w:w="720"/>
            <w:shd w:val="clear" w:color="auto" w:fill="F4F6F5"/>
          </w:tcPr>
          <w:p>
            <w:pPr>
              <w:spacing w:before="20" w:after="20"/>
            </w:pPr>
            <w:r>
              <w:rPr>
                <w:rFonts w:ascii="Calibri" w:hAnsi="Calibri"/>
                <w:b w:val="0"/>
                <w:i w:val="0"/>
                <w:sz w:val="19"/>
              </w:rPr>
              <w:t>5</w:t>
            </w:r>
          </w:p>
        </w:tc>
        <w:tc>
          <w:tcPr>
            <w:tcW w:type="dxa" w:w="3744"/>
            <w:shd w:val="clear" w:color="auto" w:fill="F4F6F5"/>
          </w:tcPr>
          <w:p/>
        </w:tc>
        <w:tc>
          <w:tcPr>
            <w:tcW w:type="dxa" w:w="5328"/>
            <w:shd w:val="clear" w:color="auto" w:fill="F4F6F5"/>
          </w:tcPr>
          <w:p/>
        </w:tc>
      </w:tr>
      <w:tr>
        <w:trPr>
          <w:trHeight w:val="1008"/>
        </w:trPr>
        <w:tc>
          <w:tcPr>
            <w:tcW w:type="dxa" w:w="720"/>
          </w:tcPr>
          <w:p>
            <w:pPr>
              <w:spacing w:before="20" w:after="20"/>
            </w:pPr>
            <w:r>
              <w:rPr>
                <w:rFonts w:ascii="Calibri" w:hAnsi="Calibri"/>
                <w:b w:val="0"/>
                <w:i w:val="0"/>
                <w:sz w:val="19"/>
              </w:rPr>
              <w:t>6</w:t>
            </w:r>
          </w:p>
        </w:tc>
        <w:tc>
          <w:tcPr>
            <w:tcW w:type="dxa" w:w="3744"/>
          </w:tcPr>
          <w:p/>
        </w:tc>
        <w:tc>
          <w:tcPr>
            <w:tcW w:type="dxa" w:w="5328"/>
          </w:tcPr>
          <w:p/>
        </w:tc>
      </w:tr>
    </w:tbl>
    <w:p>
      <w:pPr>
        <w:spacing w:after="40"/>
      </w:pPr>
    </w:p>
    <w:p>
      <w:pPr>
        <w:spacing w:before="120" w:after="60"/>
      </w:pPr>
      <w:r>
        <w:rPr>
          <w:rFonts w:ascii="Calibri" w:hAnsi="Calibri"/>
          <w:b/>
          <w:i w:val="0"/>
          <w:color w:val="0D6652"/>
          <w:sz w:val="26"/>
        </w:rPr>
        <w:t>Step 2 — The action sheet</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576"/>
            <w:shd w:val="clear" w:color="auto" w:fill="0D6652"/>
          </w:tcPr>
          <w:p>
            <w:pPr>
              <w:spacing w:before="20" w:after="40"/>
            </w:pPr>
            <w:r>
              <w:rPr>
                <w:rFonts w:ascii="Calibri" w:hAnsi="Calibri"/>
                <w:b/>
                <w:i w:val="0"/>
                <w:color w:val="FFFFFF"/>
                <w:sz w:val="19"/>
              </w:rPr>
              <w:t>No.</w:t>
            </w:r>
          </w:p>
        </w:tc>
        <w:tc>
          <w:tcPr>
            <w:tcW w:type="dxa" w:w="3312"/>
            <w:shd w:val="clear" w:color="auto" w:fill="0D6652"/>
          </w:tcPr>
          <w:p>
            <w:pPr>
              <w:spacing w:before="20" w:after="40"/>
            </w:pPr>
            <w:r>
              <w:rPr>
                <w:rFonts w:ascii="Calibri" w:hAnsi="Calibri"/>
                <w:b/>
                <w:i w:val="0"/>
                <w:color w:val="FFFFFF"/>
                <w:sz w:val="19"/>
              </w:rPr>
              <w:t>Task or output</w:t>
            </w:r>
          </w:p>
        </w:tc>
        <w:tc>
          <w:tcPr>
            <w:tcW w:type="dxa" w:w="2304"/>
            <w:shd w:val="clear" w:color="auto" w:fill="0D6652"/>
          </w:tcPr>
          <w:p>
            <w:pPr>
              <w:spacing w:before="20" w:after="40"/>
            </w:pPr>
            <w:r>
              <w:rPr>
                <w:rFonts w:ascii="Calibri" w:hAnsi="Calibri"/>
                <w:b/>
                <w:i w:val="0"/>
                <w:color w:val="FFFFFF"/>
                <w:sz w:val="19"/>
              </w:rPr>
              <w:t>Responsible (post)</w:t>
            </w:r>
          </w:p>
        </w:tc>
        <w:tc>
          <w:tcPr>
            <w:tcW w:type="dxa" w:w="1296"/>
            <w:shd w:val="clear" w:color="auto" w:fill="0D6652"/>
          </w:tcPr>
          <w:p>
            <w:pPr>
              <w:spacing w:before="20" w:after="40"/>
            </w:pPr>
            <w:r>
              <w:rPr>
                <w:rFonts w:ascii="Calibri" w:hAnsi="Calibri"/>
                <w:b/>
                <w:i w:val="0"/>
                <w:color w:val="FFFFFF"/>
                <w:sz w:val="19"/>
              </w:rPr>
              <w:t>Deadline</w:t>
            </w:r>
          </w:p>
        </w:tc>
        <w:tc>
          <w:tcPr>
            <w:tcW w:type="dxa" w:w="2304"/>
            <w:shd w:val="clear" w:color="auto" w:fill="0D6652"/>
          </w:tcPr>
          <w:p>
            <w:pPr>
              <w:spacing w:before="20" w:after="40"/>
            </w:pPr>
            <w:r>
              <w:rPr>
                <w:rFonts w:ascii="Calibri" w:hAnsi="Calibri"/>
                <w:b/>
                <w:i w:val="0"/>
                <w:color w:val="FFFFFF"/>
                <w:sz w:val="19"/>
              </w:rPr>
              <w:t>How it will be verified</w:t>
            </w:r>
          </w:p>
        </w:tc>
      </w:tr>
      <w:tr>
        <w:trPr>
          <w:trHeight w:val="648"/>
        </w:trPr>
        <w:tc>
          <w:tcPr>
            <w:tcW w:type="dxa" w:w="576"/>
          </w:tcPr>
          <w:p>
            <w:pPr>
              <w:spacing w:before="20" w:after="20"/>
            </w:pPr>
            <w:r>
              <w:rPr>
                <w:rFonts w:ascii="Calibri" w:hAnsi="Calibri"/>
                <w:b w:val="0"/>
                <w:i w:val="0"/>
                <w:sz w:val="19"/>
              </w:rPr>
              <w:t>1</w:t>
            </w:r>
          </w:p>
        </w:tc>
        <w:tc>
          <w:tcPr>
            <w:tcW w:type="dxa" w:w="3312"/>
          </w:tcPr>
          <w:p/>
        </w:tc>
        <w:tc>
          <w:tcPr>
            <w:tcW w:type="dxa" w:w="2304"/>
          </w:tcPr>
          <w:p/>
        </w:tc>
        <w:tc>
          <w:tcPr>
            <w:tcW w:type="dxa" w:w="1296"/>
          </w:tcPr>
          <w:p/>
        </w:tc>
        <w:tc>
          <w:tcPr>
            <w:tcW w:type="dxa" w:w="2304"/>
          </w:tcPr>
          <w:p/>
        </w:tc>
      </w:tr>
      <w:tr>
        <w:trPr>
          <w:trHeight w:val="648"/>
        </w:trPr>
        <w:tc>
          <w:tcPr>
            <w:tcW w:type="dxa" w:w="576"/>
            <w:shd w:val="clear" w:color="auto" w:fill="F4F6F5"/>
          </w:tcPr>
          <w:p>
            <w:pPr>
              <w:spacing w:before="20" w:after="20"/>
            </w:pPr>
            <w:r>
              <w:rPr>
                <w:rFonts w:ascii="Calibri" w:hAnsi="Calibri"/>
                <w:b w:val="0"/>
                <w:i w:val="0"/>
                <w:sz w:val="19"/>
              </w:rPr>
              <w:t>2</w:t>
            </w:r>
          </w:p>
        </w:tc>
        <w:tc>
          <w:tcPr>
            <w:tcW w:type="dxa" w:w="3312"/>
            <w:shd w:val="clear" w:color="auto" w:fill="F4F6F5"/>
          </w:tcPr>
          <w:p/>
        </w:tc>
        <w:tc>
          <w:tcPr>
            <w:tcW w:type="dxa" w:w="2304"/>
            <w:shd w:val="clear" w:color="auto" w:fill="F4F6F5"/>
          </w:tcPr>
          <w:p/>
        </w:tc>
        <w:tc>
          <w:tcPr>
            <w:tcW w:type="dxa" w:w="1296"/>
            <w:shd w:val="clear" w:color="auto" w:fill="F4F6F5"/>
          </w:tcPr>
          <w:p/>
        </w:tc>
        <w:tc>
          <w:tcPr>
            <w:tcW w:type="dxa" w:w="2304"/>
            <w:shd w:val="clear" w:color="auto" w:fill="F4F6F5"/>
          </w:tcPr>
          <w:p/>
        </w:tc>
      </w:tr>
      <w:tr>
        <w:trPr>
          <w:trHeight w:val="648"/>
        </w:trPr>
        <w:tc>
          <w:tcPr>
            <w:tcW w:type="dxa" w:w="576"/>
          </w:tcPr>
          <w:p>
            <w:pPr>
              <w:spacing w:before="20" w:after="20"/>
            </w:pPr>
            <w:r>
              <w:rPr>
                <w:rFonts w:ascii="Calibri" w:hAnsi="Calibri"/>
                <w:b w:val="0"/>
                <w:i w:val="0"/>
                <w:sz w:val="19"/>
              </w:rPr>
              <w:t>3</w:t>
            </w:r>
          </w:p>
        </w:tc>
        <w:tc>
          <w:tcPr>
            <w:tcW w:type="dxa" w:w="3312"/>
          </w:tcPr>
          <w:p/>
        </w:tc>
        <w:tc>
          <w:tcPr>
            <w:tcW w:type="dxa" w:w="2304"/>
          </w:tcPr>
          <w:p/>
        </w:tc>
        <w:tc>
          <w:tcPr>
            <w:tcW w:type="dxa" w:w="1296"/>
          </w:tcPr>
          <w:p/>
        </w:tc>
        <w:tc>
          <w:tcPr>
            <w:tcW w:type="dxa" w:w="2304"/>
          </w:tcPr>
          <w:p/>
        </w:tc>
      </w:tr>
      <w:tr>
        <w:trPr>
          <w:trHeight w:val="648"/>
        </w:trPr>
        <w:tc>
          <w:tcPr>
            <w:tcW w:type="dxa" w:w="576"/>
            <w:shd w:val="clear" w:color="auto" w:fill="F4F6F5"/>
          </w:tcPr>
          <w:p>
            <w:pPr>
              <w:spacing w:before="20" w:after="20"/>
            </w:pPr>
            <w:r>
              <w:rPr>
                <w:rFonts w:ascii="Calibri" w:hAnsi="Calibri"/>
                <w:b w:val="0"/>
                <w:i w:val="0"/>
                <w:sz w:val="19"/>
              </w:rPr>
              <w:t>4</w:t>
            </w:r>
          </w:p>
        </w:tc>
        <w:tc>
          <w:tcPr>
            <w:tcW w:type="dxa" w:w="3312"/>
            <w:shd w:val="clear" w:color="auto" w:fill="F4F6F5"/>
          </w:tcPr>
          <w:p/>
        </w:tc>
        <w:tc>
          <w:tcPr>
            <w:tcW w:type="dxa" w:w="2304"/>
            <w:shd w:val="clear" w:color="auto" w:fill="F4F6F5"/>
          </w:tcPr>
          <w:p/>
        </w:tc>
        <w:tc>
          <w:tcPr>
            <w:tcW w:type="dxa" w:w="1296"/>
            <w:shd w:val="clear" w:color="auto" w:fill="F4F6F5"/>
          </w:tcPr>
          <w:p/>
        </w:tc>
        <w:tc>
          <w:tcPr>
            <w:tcW w:type="dxa" w:w="2304"/>
            <w:shd w:val="clear" w:color="auto" w:fill="F4F6F5"/>
          </w:tcPr>
          <w:p/>
        </w:tc>
      </w:tr>
      <w:tr>
        <w:trPr>
          <w:trHeight w:val="648"/>
        </w:trPr>
        <w:tc>
          <w:tcPr>
            <w:tcW w:type="dxa" w:w="576"/>
          </w:tcPr>
          <w:p>
            <w:pPr>
              <w:spacing w:before="20" w:after="20"/>
            </w:pPr>
            <w:r>
              <w:rPr>
                <w:rFonts w:ascii="Calibri" w:hAnsi="Calibri"/>
                <w:b w:val="0"/>
                <w:i w:val="0"/>
                <w:sz w:val="19"/>
              </w:rPr>
              <w:t>5</w:t>
            </w:r>
          </w:p>
        </w:tc>
        <w:tc>
          <w:tcPr>
            <w:tcW w:type="dxa" w:w="3312"/>
          </w:tcPr>
          <w:p/>
        </w:tc>
        <w:tc>
          <w:tcPr>
            <w:tcW w:type="dxa" w:w="2304"/>
          </w:tcPr>
          <w:p/>
        </w:tc>
        <w:tc>
          <w:tcPr>
            <w:tcW w:type="dxa" w:w="1296"/>
          </w:tcPr>
          <w:p/>
        </w:tc>
        <w:tc>
          <w:tcPr>
            <w:tcW w:type="dxa" w:w="2304"/>
          </w:tcPr>
          <w:p/>
        </w:tc>
      </w:tr>
    </w:tbl>
    <w:p>
      <w:pPr>
        <w:spacing w:after="40"/>
      </w:pPr>
    </w:p>
    <w:p>
      <w:pPr>
        <w:spacing w:before="120" w:after="60"/>
      </w:pPr>
      <w:r>
        <w:rPr>
          <w:rFonts w:ascii="Calibri" w:hAnsi="Calibri"/>
          <w:b/>
          <w:i w:val="0"/>
          <w:color w:val="0D6652"/>
          <w:sz w:val="26"/>
        </w:rPr>
        <w:t>Step 3 — Two further checks</w:t>
      </w:r>
    </w:p>
    <w:tbl>
      <w:tblPr>
        <w:tblStyle w:val="TableGrid"/>
        <w:tblW w:type="auto" w:w="0"/>
        <w:jc w:val="left"/>
        <w:tblLook w:firstColumn="1" w:firstRow="1" w:lastColumn="0" w:lastRow="0" w:noHBand="0" w:noVBand="1" w:val="04A0"/>
      </w:tblPr>
      <w:tblGrid>
        <w:gridCol w:w="5040"/>
        <w:gridCol w:w="5040"/>
      </w:tblGrid>
      <w:tr>
        <w:tc>
          <w:tcPr>
            <w:tcW w:type="dxa" w:w="4896"/>
            <w:shd w:val="clear" w:color="auto" w:fill="0D6652"/>
          </w:tcPr>
          <w:p>
            <w:pPr>
              <w:spacing w:before="20" w:after="40"/>
            </w:pPr>
            <w:r>
              <w:rPr>
                <w:rFonts w:ascii="Calibri" w:hAnsi="Calibri"/>
                <w:b/>
                <w:i w:val="0"/>
                <w:color w:val="FFFFFF"/>
                <w:sz w:val="19"/>
              </w:rPr>
              <w:t>Check</w:t>
            </w:r>
          </w:p>
        </w:tc>
        <w:tc>
          <w:tcPr>
            <w:tcW w:type="dxa" w:w="4896"/>
            <w:shd w:val="clear" w:color="auto" w:fill="0D6652"/>
          </w:tcPr>
          <w:p>
            <w:pPr>
              <w:spacing w:before="20" w:after="40"/>
            </w:pPr>
            <w:r>
              <w:rPr>
                <w:rFonts w:ascii="Calibri" w:hAnsi="Calibri"/>
                <w:b/>
                <w:i w:val="0"/>
                <w:color w:val="FFFFFF"/>
                <w:sz w:val="19"/>
              </w:rPr>
              <w:t>Your finding</w:t>
            </w:r>
          </w:p>
        </w:tc>
      </w:tr>
      <w:tr>
        <w:trPr>
          <w:trHeight w:val="864"/>
        </w:trPr>
        <w:tc>
          <w:tcPr>
            <w:tcW w:type="dxa" w:w="4896"/>
          </w:tcPr>
          <w:p>
            <w:pPr>
              <w:spacing w:before="20" w:after="20"/>
            </w:pPr>
            <w:r>
              <w:rPr>
                <w:rFonts w:ascii="Calibri" w:hAnsi="Calibri"/>
                <w:b w:val="0"/>
                <w:i w:val="0"/>
                <w:sz w:val="19"/>
              </w:rPr>
              <w:t>Which paragraph reads as a decision but is actually a view? How would you relabel it?</w:t>
            </w:r>
          </w:p>
        </w:tc>
        <w:tc>
          <w:tcPr>
            <w:tcW w:type="dxa" w:w="4896"/>
          </w:tcPr>
          <w:p/>
        </w:tc>
      </w:tr>
      <w:tr>
        <w:trPr>
          <w:trHeight w:val="864"/>
        </w:trPr>
        <w:tc>
          <w:tcPr>
            <w:tcW w:type="dxa" w:w="4896"/>
          </w:tcPr>
          <w:p>
            <w:pPr>
              <w:spacing w:before="20" w:after="20"/>
            </w:pPr>
            <w:r>
              <w:rPr>
                <w:rFonts w:ascii="Calibri" w:hAnsi="Calibri"/>
                <w:b w:val="0"/>
                <w:i w:val="0"/>
                <w:sz w:val="19"/>
              </w:rPr>
              <w:t>Where has a disagreement been smoothed over? How would you record it honestly?</w:t>
            </w:r>
          </w:p>
        </w:tc>
        <w:tc>
          <w:tcPr>
            <w:tcW w:type="dxa" w:w="4896"/>
          </w:tcPr>
          <w:p/>
        </w:tc>
      </w:tr>
      <w:tr>
        <w:trPr>
          <w:trHeight w:val="864"/>
        </w:trPr>
        <w:tc>
          <w:tcPr>
            <w:tcW w:type="dxa" w:w="4896"/>
          </w:tcPr>
          <w:p>
            <w:pPr>
              <w:spacing w:before="20" w:after="20"/>
            </w:pPr>
            <w:r>
              <w:rPr>
                <w:rFonts w:ascii="Calibri" w:hAnsi="Calibri"/>
                <w:b w:val="0"/>
                <w:i w:val="0"/>
                <w:sz w:val="19"/>
              </w:rPr>
              <w:t>One thing the drafter did well</w:t>
            </w:r>
          </w:p>
        </w:tc>
        <w:tc>
          <w:tcPr>
            <w:tcW w:type="dxa" w:w="4896"/>
          </w:tcPr>
          <w:p/>
        </w:tc>
      </w:tr>
    </w:tbl>
    <w:p>
      <w:pPr>
        <w:spacing w:after="40"/>
      </w:pPr>
    </w:p>
    <w:p>
      <w:pPr>
        <w:spacing w:before="80" w:after="80"/>
      </w:pPr>
      <w:r>
        <w:rPr>
          <w:rFonts w:ascii="Calibri" w:hAnsi="Calibri"/>
          <w:b w:val="0"/>
          <w:i/>
          <w:color w:val="E72F1F"/>
          <w:sz w:val="20"/>
        </w:rPr>
        <w:t>Phrases to look for: "it was agreed" · "noted with concern" · "will be followed up" · "various members expressed views" · "will look into it" · "in due course" · "as soon as possible" · "broadly acceptable"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6"/>
      </w:rPr>
      <w:t>A3519988  ·  Handout 4.1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95959"/>
        <w:sz w:val="16"/>
      </w:rPr>
      <w:t>International Training Centre of the ILO   |   A3519988   |   Strengthening the Capacities of the Secretariats of TSDIs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