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595959"/>
          <w:sz w:val="18"/>
        </w:rPr>
        <w:t>PARTICIPANT HANDOUT 6</w:t>
      </w:r>
    </w:p>
    <w:p>
      <w:pPr>
        <w:spacing w:before="0" w:after="60"/>
      </w:pPr>
      <w:r>
        <w:rPr>
          <w:rFonts w:ascii="Calibri" w:hAnsi="Calibri"/>
          <w:b/>
          <w:i w:val="0"/>
          <w:color w:val="0E2841"/>
          <w:sz w:val="32"/>
        </w:rPr>
        <w:t>Secretariat templates pack</w:t>
      </w:r>
    </w:p>
    <w:p>
      <w:pPr>
        <w:spacing w:before="0" w:after="200"/>
      </w:pPr>
      <w:r>
        <w:rPr>
          <w:rFonts w:ascii="Calibri" w:hAnsi="Calibri"/>
          <w:b/>
          <w:i w:val="0"/>
          <w:color w:val="0D6652"/>
          <w:sz w:val="20"/>
        </w:rPr>
        <w:t>For use during the course and afterwards   ·   All sessions</w:t>
      </w:r>
    </w:p>
    <w:p>
      <w:pPr>
        <w:spacing w:before="0" w:after="200"/>
      </w:pPr>
      <w:r>
        <w:rPr>
          <w:rFonts w:ascii="Calibri" w:hAnsi="Calibri"/>
          <w:b w:val="0"/>
          <w:i/>
          <w:color w:val="595959"/>
          <w:sz w:val="21"/>
        </w:rPr>
        <w:t>Eight templates, drawn from the modules. They are drafted to be used as they stand, or adapted to your own institution’s format. Nothing in them requires a decision beyond the secretariat and the chair.</w:t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1  Dispatch log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6. One row per recipient, not one per dispatch — the point is to show on the face of it that all three parties were treated identically. Completed at the time, not reconstructed. Kept with the meeting file.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2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Date</w:t>
            </w:r>
          </w:p>
        </w:tc>
        <w:tc>
          <w:tcPr>
            <w:tcW w:type="dxa" w:w="100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Time</w:t>
            </w:r>
          </w:p>
        </w:tc>
        <w:tc>
          <w:tcPr>
            <w:tcW w:type="dxa" w:w="331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Document ref. and version</w:t>
            </w:r>
          </w:p>
        </w:tc>
        <w:tc>
          <w:tcPr>
            <w:tcW w:type="dxa" w:w="273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Recipient</w:t>
            </w:r>
          </w:p>
        </w:tc>
        <w:tc>
          <w:tcPr>
            <w:tcW w:type="dxa" w:w="187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Constituency</w:t>
            </w:r>
          </w:p>
        </w:tc>
        <w:tc>
          <w:tcPr>
            <w:tcW w:type="dxa" w:w="158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Channel</w:t>
            </w:r>
          </w:p>
        </w:tc>
        <w:tc>
          <w:tcPr>
            <w:tcW w:type="dxa" w:w="158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Acknowledged?</w:t>
            </w:r>
          </w:p>
        </w:tc>
        <w:tc>
          <w:tcPr>
            <w:tcW w:type="dxa" w:w="144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Sent by</w:t>
            </w:r>
          </w:p>
        </w:tc>
      </w:tr>
      <w:tr>
        <w:trPr>
          <w:trHeight w:val="475"/>
        </w:trPr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3312"/>
          </w:tcPr>
          <w:p/>
        </w:tc>
        <w:tc>
          <w:tcPr>
            <w:tcW w:type="dxa" w:w="2736"/>
          </w:tcPr>
          <w:p/>
        </w:tc>
        <w:tc>
          <w:tcPr>
            <w:tcW w:type="dxa" w:w="1872"/>
          </w:tcPr>
          <w:p/>
        </w:tc>
        <w:tc>
          <w:tcPr>
            <w:tcW w:type="dxa" w:w="1584"/>
          </w:tcPr>
          <w:p/>
        </w:tc>
        <w:tc>
          <w:tcPr>
            <w:tcW w:type="dxa" w:w="1584"/>
          </w:tcPr>
          <w:p/>
        </w:tc>
        <w:tc>
          <w:tcPr>
            <w:tcW w:type="dxa" w:w="1440"/>
          </w:tcPr>
          <w:p/>
        </w:tc>
      </w:tr>
      <w:tr>
        <w:trPr>
          <w:trHeight w:val="475"/>
        </w:trPr>
        <w:tc>
          <w:tcPr>
            <w:tcW w:type="dxa" w:w="1296"/>
            <w:shd w:val="clear" w:color="auto" w:fill="F4F6F5"/>
          </w:tcPr>
          <w:p/>
        </w:tc>
        <w:tc>
          <w:tcPr>
            <w:tcW w:type="dxa" w:w="1008"/>
            <w:shd w:val="clear" w:color="auto" w:fill="F4F6F5"/>
          </w:tcPr>
          <w:p/>
        </w:tc>
        <w:tc>
          <w:tcPr>
            <w:tcW w:type="dxa" w:w="3312"/>
            <w:shd w:val="clear" w:color="auto" w:fill="F4F6F5"/>
          </w:tcPr>
          <w:p/>
        </w:tc>
        <w:tc>
          <w:tcPr>
            <w:tcW w:type="dxa" w:w="2736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</w:tr>
      <w:tr>
        <w:trPr>
          <w:trHeight w:val="475"/>
        </w:trPr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3312"/>
          </w:tcPr>
          <w:p/>
        </w:tc>
        <w:tc>
          <w:tcPr>
            <w:tcW w:type="dxa" w:w="2736"/>
          </w:tcPr>
          <w:p/>
        </w:tc>
        <w:tc>
          <w:tcPr>
            <w:tcW w:type="dxa" w:w="1872"/>
          </w:tcPr>
          <w:p/>
        </w:tc>
        <w:tc>
          <w:tcPr>
            <w:tcW w:type="dxa" w:w="1584"/>
          </w:tcPr>
          <w:p/>
        </w:tc>
        <w:tc>
          <w:tcPr>
            <w:tcW w:type="dxa" w:w="1584"/>
          </w:tcPr>
          <w:p/>
        </w:tc>
        <w:tc>
          <w:tcPr>
            <w:tcW w:type="dxa" w:w="1440"/>
          </w:tcPr>
          <w:p/>
        </w:tc>
      </w:tr>
      <w:tr>
        <w:trPr>
          <w:trHeight w:val="475"/>
        </w:trPr>
        <w:tc>
          <w:tcPr>
            <w:tcW w:type="dxa" w:w="1296"/>
            <w:shd w:val="clear" w:color="auto" w:fill="F4F6F5"/>
          </w:tcPr>
          <w:p/>
        </w:tc>
        <w:tc>
          <w:tcPr>
            <w:tcW w:type="dxa" w:w="1008"/>
            <w:shd w:val="clear" w:color="auto" w:fill="F4F6F5"/>
          </w:tcPr>
          <w:p/>
        </w:tc>
        <w:tc>
          <w:tcPr>
            <w:tcW w:type="dxa" w:w="3312"/>
            <w:shd w:val="clear" w:color="auto" w:fill="F4F6F5"/>
          </w:tcPr>
          <w:p/>
        </w:tc>
        <w:tc>
          <w:tcPr>
            <w:tcW w:type="dxa" w:w="2736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</w:tr>
      <w:tr>
        <w:trPr>
          <w:trHeight w:val="475"/>
        </w:trPr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3312"/>
          </w:tcPr>
          <w:p/>
        </w:tc>
        <w:tc>
          <w:tcPr>
            <w:tcW w:type="dxa" w:w="2736"/>
          </w:tcPr>
          <w:p/>
        </w:tc>
        <w:tc>
          <w:tcPr>
            <w:tcW w:type="dxa" w:w="1872"/>
          </w:tcPr>
          <w:p/>
        </w:tc>
        <w:tc>
          <w:tcPr>
            <w:tcW w:type="dxa" w:w="1584"/>
          </w:tcPr>
          <w:p/>
        </w:tc>
        <w:tc>
          <w:tcPr>
            <w:tcW w:type="dxa" w:w="1584"/>
          </w:tcPr>
          <w:p/>
        </w:tc>
        <w:tc>
          <w:tcPr>
            <w:tcW w:type="dxa" w:w="1440"/>
          </w:tcPr>
          <w:p/>
        </w:tc>
      </w:tr>
      <w:tr>
        <w:trPr>
          <w:trHeight w:val="475"/>
        </w:trPr>
        <w:tc>
          <w:tcPr>
            <w:tcW w:type="dxa" w:w="1296"/>
            <w:shd w:val="clear" w:color="auto" w:fill="F4F6F5"/>
          </w:tcPr>
          <w:p/>
        </w:tc>
        <w:tc>
          <w:tcPr>
            <w:tcW w:type="dxa" w:w="1008"/>
            <w:shd w:val="clear" w:color="auto" w:fill="F4F6F5"/>
          </w:tcPr>
          <w:p/>
        </w:tc>
        <w:tc>
          <w:tcPr>
            <w:tcW w:type="dxa" w:w="3312"/>
            <w:shd w:val="clear" w:color="auto" w:fill="F4F6F5"/>
          </w:tcPr>
          <w:p/>
        </w:tc>
        <w:tc>
          <w:tcPr>
            <w:tcW w:type="dxa" w:w="2736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</w:tr>
      <w:tr>
        <w:trPr>
          <w:trHeight w:val="475"/>
        </w:trPr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3312"/>
          </w:tcPr>
          <w:p/>
        </w:tc>
        <w:tc>
          <w:tcPr>
            <w:tcW w:type="dxa" w:w="2736"/>
          </w:tcPr>
          <w:p/>
        </w:tc>
        <w:tc>
          <w:tcPr>
            <w:tcW w:type="dxa" w:w="1872"/>
          </w:tcPr>
          <w:p/>
        </w:tc>
        <w:tc>
          <w:tcPr>
            <w:tcW w:type="dxa" w:w="1584"/>
          </w:tcPr>
          <w:p/>
        </w:tc>
        <w:tc>
          <w:tcPr>
            <w:tcW w:type="dxa" w:w="1584"/>
          </w:tcPr>
          <w:p/>
        </w:tc>
        <w:tc>
          <w:tcPr>
            <w:tcW w:type="dxa" w:w="1440"/>
          </w:tcPr>
          <w:p/>
        </w:tc>
      </w:tr>
      <w:tr>
        <w:trPr>
          <w:trHeight w:val="475"/>
        </w:trPr>
        <w:tc>
          <w:tcPr>
            <w:tcW w:type="dxa" w:w="1296"/>
            <w:shd w:val="clear" w:color="auto" w:fill="F4F6F5"/>
          </w:tcPr>
          <w:p/>
        </w:tc>
        <w:tc>
          <w:tcPr>
            <w:tcW w:type="dxa" w:w="1008"/>
            <w:shd w:val="clear" w:color="auto" w:fill="F4F6F5"/>
          </w:tcPr>
          <w:p/>
        </w:tc>
        <w:tc>
          <w:tcPr>
            <w:tcW w:type="dxa" w:w="3312"/>
            <w:shd w:val="clear" w:color="auto" w:fill="F4F6F5"/>
          </w:tcPr>
          <w:p/>
        </w:tc>
        <w:tc>
          <w:tcPr>
            <w:tcW w:type="dxa" w:w="2736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2  Briefing note for the chair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6. One page, issued two or three days before the meeting. It informs; it does not recommend an outcome. "The Chair may wish to note that the rules require X" is proper. "The Chair should push for option B" is not.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259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Agenda item</w:t>
            </w:r>
          </w:p>
        </w:tc>
        <w:tc>
          <w:tcPr>
            <w:tcW w:type="dxa" w:w="259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Decision sought</w:t>
            </w:r>
          </w:p>
        </w:tc>
        <w:tc>
          <w:tcPr>
            <w:tcW w:type="dxa" w:w="374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Positions likely to be taken, and where they differ</w:t>
            </w:r>
          </w:p>
        </w:tc>
        <w:tc>
          <w:tcPr>
            <w:tcW w:type="dxa" w:w="345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Procedural question likely to arise, and the rule that governs it</w:t>
            </w:r>
          </w:p>
        </w:tc>
        <w:tc>
          <w:tcPr>
            <w:tcW w:type="dxa" w:w="244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Suggested handling, and the fallback</w:t>
            </w:r>
          </w:p>
        </w:tc>
      </w:tr>
      <w:tr>
        <w:trPr>
          <w:trHeight w:val="1296"/>
        </w:trPr>
        <w:tc>
          <w:tcPr>
            <w:tcW w:type="dxa" w:w="2592"/>
          </w:tcPr>
          <w:p/>
        </w:tc>
        <w:tc>
          <w:tcPr>
            <w:tcW w:type="dxa" w:w="2592"/>
          </w:tcPr>
          <w:p/>
        </w:tc>
        <w:tc>
          <w:tcPr>
            <w:tcW w:type="dxa" w:w="3744"/>
          </w:tcPr>
          <w:p/>
        </w:tc>
        <w:tc>
          <w:tcPr>
            <w:tcW w:type="dxa" w:w="3456"/>
          </w:tcPr>
          <w:p/>
        </w:tc>
        <w:tc>
          <w:tcPr>
            <w:tcW w:type="dxa" w:w="2448"/>
          </w:tcPr>
          <w:p/>
        </w:tc>
      </w:tr>
      <w:tr>
        <w:trPr>
          <w:trHeight w:val="1296"/>
        </w:trPr>
        <w:tc>
          <w:tcPr>
            <w:tcW w:type="dxa" w:w="2592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3456"/>
            <w:shd w:val="clear" w:color="auto" w:fill="F4F6F5"/>
          </w:tcPr>
          <w:p/>
        </w:tc>
        <w:tc>
          <w:tcPr>
            <w:tcW w:type="dxa" w:w="2448"/>
            <w:shd w:val="clear" w:color="auto" w:fill="F4F6F5"/>
          </w:tcPr>
          <w:p/>
        </w:tc>
      </w:tr>
      <w:tr>
        <w:trPr>
          <w:trHeight w:val="1296"/>
        </w:trPr>
        <w:tc>
          <w:tcPr>
            <w:tcW w:type="dxa" w:w="2592"/>
          </w:tcPr>
          <w:p/>
        </w:tc>
        <w:tc>
          <w:tcPr>
            <w:tcW w:type="dxa" w:w="2592"/>
          </w:tcPr>
          <w:p/>
        </w:tc>
        <w:tc>
          <w:tcPr>
            <w:tcW w:type="dxa" w:w="3744"/>
          </w:tcPr>
          <w:p/>
        </w:tc>
        <w:tc>
          <w:tcPr>
            <w:tcW w:type="dxa" w:w="3456"/>
          </w:tcPr>
          <w:p/>
        </w:tc>
        <w:tc>
          <w:tcPr>
            <w:tcW w:type="dxa" w:w="2448"/>
          </w:tcPr>
          <w:p/>
        </w:tc>
      </w:tr>
      <w:tr>
        <w:trPr>
          <w:trHeight w:val="1296"/>
        </w:trPr>
        <w:tc>
          <w:tcPr>
            <w:tcW w:type="dxa" w:w="2592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3456"/>
            <w:shd w:val="clear" w:color="auto" w:fill="F4F6F5"/>
          </w:tcPr>
          <w:p/>
        </w:tc>
        <w:tc>
          <w:tcPr>
            <w:tcW w:type="dxa" w:w="2448"/>
            <w:shd w:val="clear" w:color="auto" w:fill="F4F6F5"/>
          </w:tcPr>
          <w:p/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3  Action sheet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4 and Module 9. Produced immediately after the meeting, attached to the minutes, circulated with them. Open actions carry forward automatically, with their original date.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57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No.</w:t>
            </w:r>
          </w:p>
        </w:tc>
        <w:tc>
          <w:tcPr>
            <w:tcW w:type="dxa" w:w="158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Conclusion ref.</w:t>
            </w:r>
          </w:p>
        </w:tc>
        <w:tc>
          <w:tcPr>
            <w:tcW w:type="dxa" w:w="374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Task or output</w:t>
            </w:r>
          </w:p>
        </w:tc>
        <w:tc>
          <w:tcPr>
            <w:tcW w:type="dxa" w:w="259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Responsible (post)</w:t>
            </w:r>
          </w:p>
        </w:tc>
        <w:tc>
          <w:tcPr>
            <w:tcW w:type="dxa" w:w="12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Deadline</w:t>
            </w:r>
          </w:p>
        </w:tc>
        <w:tc>
          <w:tcPr>
            <w:tcW w:type="dxa" w:w="288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How it will be verified</w:t>
            </w:r>
          </w:p>
        </w:tc>
        <w:tc>
          <w:tcPr>
            <w:tcW w:type="dxa" w:w="144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Status</w:t>
            </w:r>
          </w:p>
        </w:tc>
        <w:tc>
          <w:tcPr>
            <w:tcW w:type="dxa" w:w="12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Carried from</w:t>
            </w:r>
          </w:p>
        </w:tc>
      </w:tr>
      <w:tr>
        <w:trPr>
          <w:trHeight w:val="504"/>
        </w:trPr>
        <w:tc>
          <w:tcPr>
            <w:tcW w:type="dxa" w:w="576"/>
          </w:tcPr>
          <w:p/>
        </w:tc>
        <w:tc>
          <w:tcPr>
            <w:tcW w:type="dxa" w:w="1584"/>
          </w:tcPr>
          <w:p/>
        </w:tc>
        <w:tc>
          <w:tcPr>
            <w:tcW w:type="dxa" w:w="374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1440"/>
          </w:tcPr>
          <w:p/>
        </w:tc>
        <w:tc>
          <w:tcPr>
            <w:tcW w:type="dxa" w:w="1296"/>
          </w:tcPr>
          <w:p/>
        </w:tc>
      </w:tr>
      <w:tr>
        <w:trPr>
          <w:trHeight w:val="504"/>
        </w:trPr>
        <w:tc>
          <w:tcPr>
            <w:tcW w:type="dxa" w:w="576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880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  <w:tr>
        <w:trPr>
          <w:trHeight w:val="504"/>
        </w:trPr>
        <w:tc>
          <w:tcPr>
            <w:tcW w:type="dxa" w:w="576"/>
          </w:tcPr>
          <w:p/>
        </w:tc>
        <w:tc>
          <w:tcPr>
            <w:tcW w:type="dxa" w:w="1584"/>
          </w:tcPr>
          <w:p/>
        </w:tc>
        <w:tc>
          <w:tcPr>
            <w:tcW w:type="dxa" w:w="374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1440"/>
          </w:tcPr>
          <w:p/>
        </w:tc>
        <w:tc>
          <w:tcPr>
            <w:tcW w:type="dxa" w:w="1296"/>
          </w:tcPr>
          <w:p/>
        </w:tc>
      </w:tr>
      <w:tr>
        <w:trPr>
          <w:trHeight w:val="504"/>
        </w:trPr>
        <w:tc>
          <w:tcPr>
            <w:tcW w:type="dxa" w:w="576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880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  <w:tr>
        <w:trPr>
          <w:trHeight w:val="504"/>
        </w:trPr>
        <w:tc>
          <w:tcPr>
            <w:tcW w:type="dxa" w:w="576"/>
          </w:tcPr>
          <w:p/>
        </w:tc>
        <w:tc>
          <w:tcPr>
            <w:tcW w:type="dxa" w:w="1584"/>
          </w:tcPr>
          <w:p/>
        </w:tc>
        <w:tc>
          <w:tcPr>
            <w:tcW w:type="dxa" w:w="374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1440"/>
          </w:tcPr>
          <w:p/>
        </w:tc>
        <w:tc>
          <w:tcPr>
            <w:tcW w:type="dxa" w:w="1296"/>
          </w:tcPr>
          <w:p/>
        </w:tc>
      </w:tr>
      <w:tr>
        <w:trPr>
          <w:trHeight w:val="504"/>
        </w:trPr>
        <w:tc>
          <w:tcPr>
            <w:tcW w:type="dxa" w:w="576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880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  <w:tr>
        <w:trPr>
          <w:trHeight w:val="504"/>
        </w:trPr>
        <w:tc>
          <w:tcPr>
            <w:tcW w:type="dxa" w:w="576"/>
          </w:tcPr>
          <w:p/>
        </w:tc>
        <w:tc>
          <w:tcPr>
            <w:tcW w:type="dxa" w:w="1584"/>
          </w:tcPr>
          <w:p/>
        </w:tc>
        <w:tc>
          <w:tcPr>
            <w:tcW w:type="dxa" w:w="3744"/>
          </w:tcPr>
          <w:p/>
        </w:tc>
        <w:tc>
          <w:tcPr>
            <w:tcW w:type="dxa" w:w="2592"/>
          </w:tcPr>
          <w:p/>
        </w:tc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1440"/>
          </w:tcPr>
          <w:p/>
        </w:tc>
        <w:tc>
          <w:tcPr>
            <w:tcW w:type="dxa" w:w="1296"/>
          </w:tcPr>
          <w:p/>
        </w:tc>
      </w:tr>
      <w:tr>
        <w:trPr>
          <w:trHeight w:val="504"/>
        </w:trPr>
        <w:tc>
          <w:tcPr>
            <w:tcW w:type="dxa" w:w="576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592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880"/>
            <w:shd w:val="clear" w:color="auto" w:fill="F4F6F5"/>
          </w:tcPr>
          <w:p/>
        </w:tc>
        <w:tc>
          <w:tcPr>
            <w:tcW w:type="dxa" w:w="144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4  Register of conclusions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9. One continuous document. Nothing is ever deleted — items are closed with a reason. Tabled at every ordinary meeting as a standing item.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115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Res. no.</w:t>
            </w:r>
          </w:p>
        </w:tc>
        <w:tc>
          <w:tcPr>
            <w:tcW w:type="dxa" w:w="216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Adopted (date / meeting)</w:t>
            </w:r>
          </w:p>
        </w:tc>
        <w:tc>
          <w:tcPr>
            <w:tcW w:type="dxa" w:w="374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 conclusion</w:t>
            </w:r>
          </w:p>
        </w:tc>
        <w:tc>
          <w:tcPr>
            <w:tcW w:type="dxa" w:w="216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Owner (post)</w:t>
            </w:r>
          </w:p>
        </w:tc>
        <w:tc>
          <w:tcPr>
            <w:tcW w:type="dxa" w:w="12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Deadline</w:t>
            </w:r>
          </w:p>
        </w:tc>
        <w:tc>
          <w:tcPr>
            <w:tcW w:type="dxa" w:w="230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Indicator</w:t>
            </w:r>
          </w:p>
        </w:tc>
        <w:tc>
          <w:tcPr>
            <w:tcW w:type="dxa" w:w="158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Status</w:t>
            </w:r>
          </w:p>
        </w:tc>
        <w:tc>
          <w:tcPr>
            <w:tcW w:type="dxa" w:w="187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Last updated / by</w:t>
            </w:r>
          </w:p>
        </w:tc>
      </w:tr>
      <w:tr>
        <w:trPr>
          <w:trHeight w:val="504"/>
        </w:trPr>
        <w:tc>
          <w:tcPr>
            <w:tcW w:type="dxa" w:w="1152"/>
          </w:tcPr>
          <w:p/>
        </w:tc>
        <w:tc>
          <w:tcPr>
            <w:tcW w:type="dxa" w:w="2160"/>
          </w:tcPr>
          <w:p/>
        </w:tc>
        <w:tc>
          <w:tcPr>
            <w:tcW w:type="dxa" w:w="3744"/>
          </w:tcPr>
          <w:p/>
        </w:tc>
        <w:tc>
          <w:tcPr>
            <w:tcW w:type="dxa" w:w="2160"/>
          </w:tcPr>
          <w:p/>
        </w:tc>
        <w:tc>
          <w:tcPr>
            <w:tcW w:type="dxa" w:w="1296"/>
          </w:tcPr>
          <w:p/>
        </w:tc>
        <w:tc>
          <w:tcPr>
            <w:tcW w:type="dxa" w:w="2304"/>
          </w:tcPr>
          <w:p/>
        </w:tc>
        <w:tc>
          <w:tcPr>
            <w:tcW w:type="dxa" w:w="1584"/>
          </w:tcPr>
          <w:p/>
        </w:tc>
        <w:tc>
          <w:tcPr>
            <w:tcW w:type="dxa" w:w="1872"/>
          </w:tcPr>
          <w:p/>
        </w:tc>
      </w:tr>
      <w:tr>
        <w:trPr>
          <w:trHeight w:val="504"/>
        </w:trPr>
        <w:tc>
          <w:tcPr>
            <w:tcW w:type="dxa" w:w="1152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</w:tr>
      <w:tr>
        <w:trPr>
          <w:trHeight w:val="504"/>
        </w:trPr>
        <w:tc>
          <w:tcPr>
            <w:tcW w:type="dxa" w:w="1152"/>
          </w:tcPr>
          <w:p/>
        </w:tc>
        <w:tc>
          <w:tcPr>
            <w:tcW w:type="dxa" w:w="2160"/>
          </w:tcPr>
          <w:p/>
        </w:tc>
        <w:tc>
          <w:tcPr>
            <w:tcW w:type="dxa" w:w="3744"/>
          </w:tcPr>
          <w:p/>
        </w:tc>
        <w:tc>
          <w:tcPr>
            <w:tcW w:type="dxa" w:w="2160"/>
          </w:tcPr>
          <w:p/>
        </w:tc>
        <w:tc>
          <w:tcPr>
            <w:tcW w:type="dxa" w:w="1296"/>
          </w:tcPr>
          <w:p/>
        </w:tc>
        <w:tc>
          <w:tcPr>
            <w:tcW w:type="dxa" w:w="2304"/>
          </w:tcPr>
          <w:p/>
        </w:tc>
        <w:tc>
          <w:tcPr>
            <w:tcW w:type="dxa" w:w="1584"/>
          </w:tcPr>
          <w:p/>
        </w:tc>
        <w:tc>
          <w:tcPr>
            <w:tcW w:type="dxa" w:w="1872"/>
          </w:tcPr>
          <w:p/>
        </w:tc>
      </w:tr>
      <w:tr>
        <w:trPr>
          <w:trHeight w:val="504"/>
        </w:trPr>
        <w:tc>
          <w:tcPr>
            <w:tcW w:type="dxa" w:w="1152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</w:tr>
      <w:tr>
        <w:trPr>
          <w:trHeight w:val="504"/>
        </w:trPr>
        <w:tc>
          <w:tcPr>
            <w:tcW w:type="dxa" w:w="1152"/>
          </w:tcPr>
          <w:p/>
        </w:tc>
        <w:tc>
          <w:tcPr>
            <w:tcW w:type="dxa" w:w="2160"/>
          </w:tcPr>
          <w:p/>
        </w:tc>
        <w:tc>
          <w:tcPr>
            <w:tcW w:type="dxa" w:w="3744"/>
          </w:tcPr>
          <w:p/>
        </w:tc>
        <w:tc>
          <w:tcPr>
            <w:tcW w:type="dxa" w:w="2160"/>
          </w:tcPr>
          <w:p/>
        </w:tc>
        <w:tc>
          <w:tcPr>
            <w:tcW w:type="dxa" w:w="1296"/>
          </w:tcPr>
          <w:p/>
        </w:tc>
        <w:tc>
          <w:tcPr>
            <w:tcW w:type="dxa" w:w="2304"/>
          </w:tcPr>
          <w:p/>
        </w:tc>
        <w:tc>
          <w:tcPr>
            <w:tcW w:type="dxa" w:w="1584"/>
          </w:tcPr>
          <w:p/>
        </w:tc>
        <w:tc>
          <w:tcPr>
            <w:tcW w:type="dxa" w:w="1872"/>
          </w:tcPr>
          <w:p/>
        </w:tc>
      </w:tr>
      <w:tr>
        <w:trPr>
          <w:trHeight w:val="504"/>
        </w:trPr>
        <w:tc>
          <w:tcPr>
            <w:tcW w:type="dxa" w:w="1152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</w:tr>
      <w:tr>
        <w:trPr>
          <w:trHeight w:val="504"/>
        </w:trPr>
        <w:tc>
          <w:tcPr>
            <w:tcW w:type="dxa" w:w="1152"/>
          </w:tcPr>
          <w:p/>
        </w:tc>
        <w:tc>
          <w:tcPr>
            <w:tcW w:type="dxa" w:w="2160"/>
          </w:tcPr>
          <w:p/>
        </w:tc>
        <w:tc>
          <w:tcPr>
            <w:tcW w:type="dxa" w:w="3744"/>
          </w:tcPr>
          <w:p/>
        </w:tc>
        <w:tc>
          <w:tcPr>
            <w:tcW w:type="dxa" w:w="2160"/>
          </w:tcPr>
          <w:p/>
        </w:tc>
        <w:tc>
          <w:tcPr>
            <w:tcW w:type="dxa" w:w="1296"/>
          </w:tcPr>
          <w:p/>
        </w:tc>
        <w:tc>
          <w:tcPr>
            <w:tcW w:type="dxa" w:w="2304"/>
          </w:tcPr>
          <w:p/>
        </w:tc>
        <w:tc>
          <w:tcPr>
            <w:tcW w:type="dxa" w:w="1584"/>
          </w:tcPr>
          <w:p/>
        </w:tc>
        <w:tc>
          <w:tcPr>
            <w:tcW w:type="dxa" w:w="1872"/>
          </w:tcPr>
          <w:p/>
        </w:tc>
      </w:tr>
      <w:tr>
        <w:trPr>
          <w:trHeight w:val="504"/>
        </w:trPr>
        <w:tc>
          <w:tcPr>
            <w:tcW w:type="dxa" w:w="1152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3744"/>
            <w:shd w:val="clear" w:color="auto" w:fill="F4F6F5"/>
          </w:tcPr>
          <w:p/>
        </w:tc>
        <w:tc>
          <w:tcPr>
            <w:tcW w:type="dxa" w:w="2160"/>
            <w:shd w:val="clear" w:color="auto" w:fill="F4F6F5"/>
          </w:tcPr>
          <w:p/>
        </w:tc>
        <w:tc>
          <w:tcPr>
            <w:tcW w:type="dxa" w:w="1296"/>
            <w:shd w:val="clear" w:color="auto" w:fill="F4F6F5"/>
          </w:tcPr>
          <w:p/>
        </w:tc>
        <w:tc>
          <w:tcPr>
            <w:tcW w:type="dxa" w:w="2304"/>
            <w:shd w:val="clear" w:color="auto" w:fill="F4F6F5"/>
          </w:tcPr>
          <w:p/>
        </w:tc>
        <w:tc>
          <w:tcPr>
            <w:tcW w:type="dxa" w:w="1584"/>
            <w:shd w:val="clear" w:color="auto" w:fill="F4F6F5"/>
          </w:tcPr>
          <w:p/>
        </w:tc>
        <w:tc>
          <w:tcPr>
            <w:tcW w:type="dxa" w:w="1872"/>
            <w:shd w:val="clear" w:color="auto" w:fill="F4F6F5"/>
          </w:tcPr>
          <w:p/>
        </w:tc>
      </w:tr>
    </w:tbl>
    <w:p>
      <w:pPr>
        <w:spacing w:after="40"/>
      </w:pPr>
    </w:p>
    <w:p>
      <w:pPr>
        <w:spacing w:before="40" w:after="80"/>
      </w:pPr>
      <w:r>
        <w:rPr>
          <w:rFonts w:ascii="Calibri" w:hAnsi="Calibri"/>
          <w:b w:val="0"/>
          <w:i/>
          <w:color w:val="E72F1F"/>
          <w:sz w:val="20"/>
        </w:rPr>
        <w:t>Status values — use only these: not yet due  ·  on track  ·  delayed, new date agreed  ·  delayed, no new date  ·  blocked, reason recorded  ·  closed, delivered  ·  closed, superseded. Never "ongoing".</w:t>
      </w: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5  Pre-meeting contact — standard wording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9. Sent about one week before each meeting to every owner with an item falling due. The consequence in the third paragraph is what makes the system work.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840"/>
        <w:gridCol w:w="6840"/>
      </w:tblGrid>
      <w:tr>
        <w:tc>
          <w:tcPr>
            <w:tcW w:type="dxa" w:w="230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120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Wording</w:t>
            </w:r>
          </w:p>
        </w:tc>
      </w:tr>
      <w:tr>
        <w:trPr>
          <w:trHeight w:val="1008"/>
        </w:trPr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ask</w:t>
            </w:r>
          </w:p>
        </w:tc>
        <w:tc>
          <w:tcPr>
            <w:tcW w:type="dxa" w:w="120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[body] adopted the following conclusion on [date]: "[text of the conclusion]". You are recorded as the owner, with a deadline of [date]. Could you confirm the current status by [date, three working days from sending]?</w:t>
            </w:r>
          </w:p>
        </w:tc>
      </w:tr>
      <w:tr>
        <w:trPr>
          <w:trHeight w:val="1008"/>
        </w:trPr>
        <w:tc>
          <w:tcPr>
            <w:tcW w:type="dxa" w:w="2304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options</w:t>
            </w:r>
          </w:p>
        </w:tc>
        <w:tc>
          <w:tcPr>
            <w:tcW w:type="dxa" w:w="12096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Please reply with one of the following: on track; delayed, new date [date]; delayed, no new date; blocked, because [reason]; or delivered, evidence attached.</w:t>
            </w:r>
          </w:p>
        </w:tc>
      </w:tr>
      <w:tr>
        <w:trPr>
          <w:trHeight w:val="1008"/>
        </w:trPr>
        <w:tc>
          <w:tcPr>
            <w:tcW w:type="dxa" w:w="23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consequence</w:t>
            </w:r>
          </w:p>
        </w:tc>
        <w:tc>
          <w:tcPr>
            <w:tcW w:type="dxa" w:w="120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Items recorded as delayed with no new date, or blocked, are placed on the agenda of the next meeting for decision. All other items are noted without discussion.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6  My 30-day plan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11. Three quick wins. Each entirely within your own authority — not something you will propose, something you will do. One on protocol or documentation, one on technical support, one on follow-up.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50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259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Area</w:t>
            </w:r>
          </w:p>
        </w:tc>
        <w:tc>
          <w:tcPr>
            <w:tcW w:type="dxa" w:w="48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Specific — what exactly will be done</w:t>
            </w:r>
          </w:p>
        </w:tc>
        <w:tc>
          <w:tcPr>
            <w:tcW w:type="dxa" w:w="374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Measurable — how you will know it is done</w:t>
            </w:r>
          </w:p>
        </w:tc>
        <w:tc>
          <w:tcPr>
            <w:tcW w:type="dxa" w:w="266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Time-bound — date within 30 days</w:t>
            </w:r>
          </w:p>
        </w:tc>
      </w:tr>
      <w:tr>
        <w:trPr>
          <w:trHeight w:val="1224"/>
        </w:trPr>
        <w:tc>
          <w:tcPr>
            <w:tcW w:type="dxa" w:w="5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Protocol or documentation</w:t>
            </w:r>
          </w:p>
        </w:tc>
        <w:tc>
          <w:tcPr>
            <w:tcW w:type="dxa" w:w="4896"/>
          </w:tcPr>
          <w:p/>
        </w:tc>
        <w:tc>
          <w:tcPr>
            <w:tcW w:type="dxa" w:w="3744"/>
          </w:tcPr>
          <w:p/>
        </w:tc>
        <w:tc>
          <w:tcPr>
            <w:tcW w:type="dxa" w:w="2664"/>
          </w:tcPr>
          <w:p/>
        </w:tc>
      </w:tr>
      <w:tr>
        <w:trPr>
          <w:trHeight w:val="1224"/>
        </w:trPr>
        <w:tc>
          <w:tcPr>
            <w:tcW w:type="dxa" w:w="5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Technical support</w:t>
            </w:r>
          </w:p>
        </w:tc>
        <w:tc>
          <w:tcPr>
            <w:tcW w:type="dxa" w:w="4896"/>
          </w:tcPr>
          <w:p/>
        </w:tc>
        <w:tc>
          <w:tcPr>
            <w:tcW w:type="dxa" w:w="3744"/>
          </w:tcPr>
          <w:p/>
        </w:tc>
        <w:tc>
          <w:tcPr>
            <w:tcW w:type="dxa" w:w="2664"/>
          </w:tcPr>
          <w:p/>
        </w:tc>
      </w:tr>
      <w:tr>
        <w:trPr>
          <w:trHeight w:val="1224"/>
        </w:trPr>
        <w:tc>
          <w:tcPr>
            <w:tcW w:type="dxa" w:w="50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Follow-up</w:t>
            </w:r>
          </w:p>
        </w:tc>
        <w:tc>
          <w:tcPr>
            <w:tcW w:type="dxa" w:w="4896"/>
          </w:tcPr>
          <w:p/>
        </w:tc>
        <w:tc>
          <w:tcPr>
            <w:tcW w:type="dxa" w:w="3744"/>
          </w:tcPr>
          <w:p/>
        </w:tc>
        <w:tc>
          <w:tcPr>
            <w:tcW w:type="dxa" w:w="2664"/>
          </w:tcPr>
          <w:p/>
        </w:tc>
      </w:tr>
    </w:tbl>
    <w:p>
      <w:pPr>
        <w:spacing w:after="40"/>
      </w:pPr>
    </w:p>
    <w:p>
      <w:pPr>
        <w:spacing w:before="160" w:after="80"/>
      </w:pPr>
      <w:r>
        <w:rPr>
          <w:rFonts w:ascii="Calibri" w:hAnsi="Calibri"/>
          <w:b/>
          <w:i w:val="0"/>
          <w:sz w:val="22"/>
        </w:rPr>
        <w:t>Name: ______________________________    Institution: ______________________________    Date: ______________</w:t>
      </w: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7  Three-month institutional roadmap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11. For the team, not the individual. Each month lays the foundation for the next. Consistent small improvements, sustained, change an institution; a single large effort, unsustained, changes nothing and exhausts the people who made it.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864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Month</w:t>
            </w:r>
          </w:p>
        </w:tc>
        <w:tc>
          <w:tcPr>
            <w:tcW w:type="dxa" w:w="3168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Theme</w:t>
            </w:r>
          </w:p>
        </w:tc>
        <w:tc>
          <w:tcPr>
            <w:tcW w:type="dxa" w:w="547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Key team deliverable — the major, verifiable result</w:t>
            </w:r>
          </w:p>
        </w:tc>
        <w:tc>
          <w:tcPr>
            <w:tcW w:type="dxa" w:w="288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Which modules this applies</w:t>
            </w:r>
          </w:p>
        </w:tc>
        <w:tc>
          <w:tcPr>
            <w:tcW w:type="dxa" w:w="201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Who leads</w:t>
            </w:r>
          </w:p>
        </w:tc>
      </w:tr>
      <w:tr>
        <w:trPr>
          <w:trHeight w:val="1440"/>
        </w:trPr>
        <w:tc>
          <w:tcPr>
            <w:tcW w:type="dxa" w:w="86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316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Foundation and accountability</w:t>
            </w:r>
          </w:p>
        </w:tc>
        <w:tc>
          <w:tcPr>
            <w:tcW w:type="dxa" w:w="5472"/>
          </w:tcPr>
          <w:p/>
        </w:tc>
        <w:tc>
          <w:tcPr>
            <w:tcW w:type="dxa" w:w="2880"/>
          </w:tcPr>
          <w:p/>
        </w:tc>
        <w:tc>
          <w:tcPr>
            <w:tcW w:type="dxa" w:w="2016"/>
          </w:tcPr>
          <w:p/>
        </w:tc>
      </w:tr>
      <w:tr>
        <w:trPr>
          <w:trHeight w:val="1440"/>
        </w:trPr>
        <w:tc>
          <w:tcPr>
            <w:tcW w:type="dxa" w:w="864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3168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Technical excellence and neutrality</w:t>
            </w:r>
          </w:p>
        </w:tc>
        <w:tc>
          <w:tcPr>
            <w:tcW w:type="dxa" w:w="5472"/>
            <w:shd w:val="clear" w:color="auto" w:fill="F4F6F5"/>
          </w:tcPr>
          <w:p/>
        </w:tc>
        <w:tc>
          <w:tcPr>
            <w:tcW w:type="dxa" w:w="2880"/>
            <w:shd w:val="clear" w:color="auto" w:fill="F4F6F5"/>
          </w:tcPr>
          <w:p/>
        </w:tc>
        <w:tc>
          <w:tcPr>
            <w:tcW w:type="dxa" w:w="2016"/>
            <w:shd w:val="clear" w:color="auto" w:fill="F4F6F5"/>
          </w:tcPr>
          <w:p/>
        </w:tc>
      </w:tr>
      <w:tr>
        <w:trPr>
          <w:trHeight w:val="1440"/>
        </w:trPr>
        <w:tc>
          <w:tcPr>
            <w:tcW w:type="dxa" w:w="864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3168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Sustainability and planning</w:t>
            </w:r>
          </w:p>
        </w:tc>
        <w:tc>
          <w:tcPr>
            <w:tcW w:type="dxa" w:w="5472"/>
          </w:tcPr>
          <w:p/>
        </w:tc>
        <w:tc>
          <w:tcPr>
            <w:tcW w:type="dxa" w:w="2880"/>
          </w:tcPr>
          <w:p/>
        </w:tc>
        <w:tc>
          <w:tcPr>
            <w:tcW w:type="dxa" w:w="2016"/>
          </w:tcPr>
          <w:p/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i w:val="0"/>
          <w:color w:val="0E2841"/>
          <w:sz w:val="22"/>
        </w:rPr>
        <w:t>The rallying statement for your team — maximum fifty words, on why consistent small improvement beats a single push: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right w:val="none" w:sz="0"/>
          <w:insideV w:val="none" w:sz="0"/>
          <w:bottom w:val="single" w:sz="4" w:color="BFBFBF"/>
          <w:insideH w:val="single" w:sz="4" w:color="BFBFBF"/>
        </w:tblBorders>
      </w:tblPr>
      <w:tblGrid>
        <w:gridCol w:w="13680"/>
      </w:tblGrid>
      <w:tr>
        <w:trPr>
          <w:trHeight w:val="432"/>
        </w:trPr>
        <w:tc>
          <w:tcPr>
            <w:tcW w:type="dxa" w:w="14400"/>
          </w:tcPr>
          <w:p>
            <w:pPr>
              <w:spacing w:after="0"/>
            </w:pPr>
          </w:p>
        </w:tc>
      </w:tr>
      <w:tr>
        <w:trPr>
          <w:trHeight w:val="432"/>
        </w:trPr>
        <w:tc>
          <w:tcPr>
            <w:tcW w:type="dxa" w:w="14400"/>
          </w:tcPr>
          <w:p>
            <w:pPr>
              <w:spacing w:after="0"/>
            </w:pPr>
          </w:p>
        </w:tc>
      </w:tr>
      <w:tr>
        <w:trPr>
          <w:trHeight w:val="432"/>
        </w:trPr>
        <w:tc>
          <w:tcPr>
            <w:tcW w:type="dxa" w:w="14400"/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Calibri" w:hAnsi="Calibri"/>
          <w:b/>
          <w:i w:val="0"/>
          <w:sz w:val="22"/>
        </w:rPr>
        <w:t>Institution: ______________________________    Team members: ______________________________________________</w:t>
      </w:r>
    </w:p>
    <w:p>
      <w:r>
        <w:br w:type="page"/>
      </w:r>
    </w:p>
    <w:p>
      <w:pPr>
        <w:spacing w:before="0" w:after="60"/>
      </w:pPr>
      <w:r>
        <w:rPr>
          <w:rFonts w:ascii="Calibri" w:hAnsi="Calibri"/>
          <w:b/>
          <w:i w:val="0"/>
          <w:color w:val="0D6652"/>
          <w:sz w:val="30"/>
        </w:rPr>
        <w:t>8  Two-part report — where the parties did not reach consensus</w:t>
      </w:r>
    </w:p>
    <w:p>
      <w:pPr>
        <w:spacing w:before="0" w:after="80"/>
      </w:pPr>
      <w:r>
        <w:rPr>
          <w:rFonts w:ascii="Calibri" w:hAnsi="Calibri"/>
          <w:b w:val="0"/>
          <w:i/>
          <w:color w:val="595959"/>
          <w:sz w:val="20"/>
        </w:rPr>
        <w:t>Module 4. The South African method. Used when a matter concludes without full agreement and has to move forward anyway. Part A moves; Part B is recorded, in the dissenting party’s own words, and is not characterized by the secretariat.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840"/>
        <w:gridCol w:w="6840"/>
      </w:tblGrid>
      <w:tr>
        <w:tc>
          <w:tcPr>
            <w:tcW w:type="dxa" w:w="288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11520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Content</w:t>
            </w:r>
          </w:p>
        </w:tc>
      </w:tr>
      <w:tr>
        <w:trPr>
          <w:trHeight w:val="1080"/>
        </w:trP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Heading</w:t>
            </w:r>
          </w:p>
        </w:tc>
        <w:tc>
          <w:tcPr>
            <w:tcW w:type="dxa" w:w="1152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Report of the [body] on [matter], [meeting number and date]. Prepared by the secretariat under [rule]. Transmitted to [recipient].</w:t>
            </w:r>
          </w:p>
        </w:tc>
      </w:tr>
      <w:tr>
        <w:trPr>
          <w:trHeight w:val="1080"/>
        </w:trPr>
        <w:tc>
          <w:tcPr>
            <w:tcW w:type="dxa" w:w="288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Part A — provisions agreed</w:t>
            </w:r>
          </w:p>
        </w:tc>
        <w:tc>
          <w:tcPr>
            <w:tcW w:type="dxa" w:w="1152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clauses on which all constituencies reached consensus, in final wording, numbered. Nothing in Part A is subject to further negotiation.</w:t>
            </w:r>
          </w:p>
        </w:tc>
      </w:tr>
      <w:tr>
        <w:trPr>
          <w:trHeight w:val="1080"/>
        </w:trP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Part B — positions recorded</w:t>
            </w:r>
          </w:p>
        </w:tc>
        <w:tc>
          <w:tcPr>
            <w:tcW w:type="dxa" w:w="1152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For each unresolved point: the clause at issue; the position of each constituency, in the terms that constituency used; and the alternative wording each proposed. One block per constituency per point.</w:t>
            </w:r>
          </w:p>
        </w:tc>
      </w:tr>
      <w:tr>
        <w:trPr>
          <w:trHeight w:val="1080"/>
        </w:trPr>
        <w:tc>
          <w:tcPr>
            <w:tcW w:type="dxa" w:w="288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What the secretariat does NOT write</w:t>
            </w:r>
          </w:p>
        </w:tc>
        <w:tc>
          <w:tcPr>
            <w:tcW w:type="dxa" w:w="1152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No assessment of which position is better founded. No merged form of words nobody proposed. No "the parties broadly agreed". No omission of a position because it was stated late or stated sharply.</w:t>
            </w:r>
          </w:p>
        </w:tc>
      </w:tr>
      <w:tr>
        <w:trPr>
          <w:trHeight w:val="1080"/>
        </w:trP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Confirmation step</w:t>
            </w:r>
          </w:p>
        </w:tc>
        <w:tc>
          <w:tcPr>
            <w:tcW w:type="dxa" w:w="11520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Part B is circulated to each constituency for confirmation that its own position is accurately recorded — not for comment on the others’. Three working days, then it stands.</w:t>
            </w:r>
          </w:p>
        </w:tc>
      </w:tr>
      <w:tr>
        <w:trPr>
          <w:trHeight w:val="1080"/>
        </w:trPr>
        <w:tc>
          <w:tcPr>
            <w:tcW w:type="dxa" w:w="288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Closing line</w:t>
            </w:r>
          </w:p>
        </w:tc>
        <w:tc>
          <w:tcPr>
            <w:tcW w:type="dxa" w:w="11520"/>
            <w:shd w:val="clear" w:color="auto" w:fill="F4F6F5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The secretariat records that consensus was reached on the provisions in Part A and was not reached on the points in Part B. The [body] may wish to transmit the report on that basis.</w:t>
            </w:r>
          </w:p>
        </w:tc>
      </w:tr>
    </w:tbl>
    <w:p>
      <w:pPr>
        <w:spacing w:after="40"/>
      </w:pPr>
    </w:p>
    <w:p>
      <w:pPr>
        <w:spacing w:before="80" w:after="80"/>
      </w:pPr>
      <w:r>
        <w:rPr>
          <w:rFonts w:ascii="Calibri" w:hAnsi="Calibri"/>
          <w:b w:val="0"/>
          <w:i/>
          <w:color w:val="E72F1F"/>
          <w:sz w:val="20"/>
        </w:rPr>
        <w:t>Recording dissent accurately is not a failure of the process. It is what allows the process to conclude.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6"/>
      </w:rPr>
      <w:t>A3519988  ·  Handout 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595959"/>
        <w:sz w:val="16"/>
      </w:rPr>
      <w:t>International Training Centre of the ILO   |   A3519988   |   Strengthening the Capacities of the Secretariats of TSDIs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