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Higher Education Employer Confidential Brief</w:t>
      </w:r>
    </w:p>
    <w:p>
      <w:r>
        <w:rPr>
          <w:b/>
        </w:rPr>
        <w:t>Day 4 Session 4   Plenary B   Employer team</w:t>
      </w:r>
    </w:p>
    <w:p>
      <w:r>
        <w:t>Read only this handout and the higher education shared facts. Keep your confidential information within your assigned team.</w:t>
      </w:r>
    </w:p>
    <w:p>
      <w:r>
        <w:t>Fictional training exercise. All institutions, disputes, mandates and figures are invented for learning.</w:t>
      </w:r>
    </w:p>
    <w:p>
      <w:pPr>
        <w:widowControl/>
      </w:pPr>
      <w:r>
        <w:rPr>
          <w:b/>
        </w:rPr>
        <w:t>If they raise the promotion criteria:</w:t>
      </w:r>
      <w:r>
        <w:t xml:space="preserve"> Crediting a career break towards the continuous-service requirement has no cost in the current financial year. It would affect roughly forty staff over three years, and it sets a precedent you cannot easily reverse. It is within the Council's authority. Decide whether it is worth more to you as a concession than as a refusal.</w:t>
      </w:r>
    </w:p>
    <w:p>
      <w:pPr>
        <w:widowControl/>
      </w:pPr>
      <w:r>
        <w:rPr>
          <w:b/>
        </w:rPr>
        <w:t>Do not read:</w:t>
      </w:r>
      <w:r>
        <w:t xml:space="preserve"> the separate worker-side download.</w:t>
      </w:r>
    </w:p>
    <w:p>
      <w:pPr>
        <w:widowControl/>
      </w:pPr>
      <w:r>
        <w:rPr>
          <w:b/>
        </w:rPr>
        <w:t>Your mandate:</w:t>
      </w:r>
      <w:r>
        <w:t xml:space="preserve"> Settle the arrears over not fewer than three financial years, and avoid any commitment that would require diverting funds from the capital project mid-delivery.</w:t>
      </w:r>
    </w:p>
    <w:p>
      <w:pPr>
        <w:widowControl/>
      </w:pPr>
      <w:r>
        <w:rPr>
          <w:b/>
        </w:rPr>
        <w:t>Your walk-away:</w:t>
      </w:r>
      <w:r>
        <w:t xml:space="preserve"> You may not commit to clearing arrears within the current financial year, and you may not sign anything that pre-commits next year's exchequer allocation before it is confirmed.</w:t>
      </w:r>
    </w:p>
    <w:p>
      <w:pPr>
        <w:widowControl/>
      </w:pPr>
      <w:r>
        <w:rPr>
          <w:b/>
        </w:rPr>
        <w:t>What you know that they may not:</w:t>
      </w:r>
      <w:r>
        <w:t xml:space="preserve"> The exchequer allocation for the coming year is expected to rise modestly, but the figure is not confirmed and you have been instructed not to disclose the projection.</w:t>
      </w:r>
    </w:p>
    <w:p>
      <w:pPr>
        <w:widowControl/>
      </w:pPr>
      <w:r>
        <w:rPr>
          <w:b/>
        </w:rPr>
        <w:t>Your pressure:</w:t>
      </w:r>
      <w:r>
        <w:t xml:space="preserve"> If individual legal claims begin, the institution's exposure rises well above the KSh 94 million, and the Council has told you to avoid that outcome.</w:t>
      </w:r>
    </w:p>
    <w:p>
      <w:pPr>
        <w:widowControl/>
      </w:pPr>
      <w:r>
        <w:rPr>
          <w:b/>
        </w:rPr>
        <w:t>What you could offer:</w:t>
      </w:r>
      <w:r>
        <w:t xml:space="preserve"> Written acknowledgement that the entitlement is contractual — this costs nothing and is what they most want. A dated three-year schedule. A joint monitoring committee with quarterly reporting. Priority for the lowest-paid staff in the first instalment.</w:t>
      </w:r>
    </w:p>
    <w:p>
      <w:pPr>
        <w:widowControl/>
      </w:pPr>
      <w:r>
        <w:rPr>
          <w:b/>
        </w:rPr>
        <w:t>What you cannot offer:</w:t>
      </w:r>
      <w:r>
        <w:t xml:space="preserve"> Full settlement this year, or a commitment contingent on an unconfirmed allocation figure you are not permitted to disclose.</w:t>
      </w:r>
    </w:p>
    <w:p>
      <w:pPr>
        <w:widowControl/>
      </w:pPr>
      <w:r>
        <w:rPr>
          <w:b/>
        </w:rPr>
        <w:t>Quietly:</w:t>
      </w:r>
      <w:r>
        <w:t xml:space="preserve"> Acknowledging the entitlement early would cost you nothing financially and would substantially change the temperature of the meeting. Whether you use that early, as trust-building, or hold it as a concession is a genuine strategic choice.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Plenary B  Higher Education  Employer team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Higher Education Employer Confidential Brief</dc:title>
  <dc:subject>Day 4 Session 4 Plenary B Employer team</dc:subject>
  <dc:creator>ITCILO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