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Health Employer Confidential Brief</w:t>
      </w:r>
    </w:p>
    <w:p>
      <w:r>
        <w:rPr>
          <w:b/>
        </w:rPr>
        <w:t>Day 4 Session 4   Plenary A   Employer team</w:t>
      </w:r>
    </w:p>
    <w:p>
      <w:r>
        <w:t>Read only this handout and the public health shared facts. Keep your confidential information within your assigned team.</w:t>
      </w:r>
    </w:p>
    <w:p>
      <w:r>
        <w:t>Fictional training exercise. All institutions, disputes, mandates and figures are invented for learning.</w:t>
      </w:r>
    </w:p>
    <w:p>
      <w:pPr>
        <w:widowControl/>
      </w:pPr>
      <w:r>
        <w:rPr>
          <w:b/>
        </w:rPr>
        <w:t>If they raise rostering:</w:t>
      </w:r>
      <w:r>
        <w:t xml:space="preserve"> Four weeks' notice of the roster costs you nothing in cash and is within your authority to grant. A funded relief pool for maternity and long-term sick cover would be about KSh 14 million a year. Neither is in your mandate; neither is excluded from it.</w:t>
      </w:r>
    </w:p>
    <w:p>
      <w:pPr>
        <w:widowControl/>
      </w:pPr>
      <w:r>
        <w:rPr>
          <w:b/>
        </w:rPr>
        <w:t>Do not read:</w:t>
      </w:r>
      <w:r>
        <w:t xml:space="preserve"> the separate worker-side download.</w:t>
      </w:r>
    </w:p>
    <w:p>
      <w:pPr>
        <w:widowControl/>
      </w:pPr>
      <w:r>
        <w:rPr>
          <w:b/>
        </w:rPr>
        <w:t>Your mandate:</w:t>
      </w:r>
      <w:r>
        <w:t xml:space="preserve"> Reach an agreement that does not commit more than KSh 60 million in the current financial year. You may commit to future years, but only with a stated condition on revenue performance.</w:t>
      </w:r>
    </w:p>
    <w:p>
      <w:pPr>
        <w:widowControl/>
      </w:pPr>
      <w:r>
        <w:rPr>
          <w:b/>
        </w:rPr>
        <w:t>Your walk-away:</w:t>
      </w:r>
      <w:r>
        <w:t xml:space="preserve"> You may not sign anything that commits the full arrears in one financial year. Your own finance department has told you this is not deliverable.</w:t>
      </w:r>
    </w:p>
    <w:p>
      <w:pPr>
        <w:widowControl/>
      </w:pPr>
      <w:r>
        <w:rPr>
          <w:b/>
        </w:rPr>
        <w:t>What you know that they may not:</w:t>
      </w:r>
      <w:r>
        <w:t xml:space="preserve"> A donor-funded programme closed last year leaving a balance of about KSh 70 million. Its donor conditions and legal availability have not yet been checked. Your finance team hopes it may support the programme close-out, subject to those conditions. It cannot be treated as an unrestricted wage fund without verification and all required approvals.</w:t>
      </w:r>
    </w:p>
    <w:p>
      <w:pPr>
        <w:widowControl/>
      </w:pPr>
      <w:r>
        <w:rPr>
          <w:b/>
        </w:rPr>
        <w:t>Your pressure:</w:t>
      </w:r>
      <w:r>
        <w:t xml:space="preserve"> The Controller's office has queried the county's wage-bill ratio. A large new recurrent commitment would be visible and difficult to defend.</w:t>
      </w:r>
    </w:p>
    <w:p>
      <w:pPr>
        <w:widowControl/>
      </w:pPr>
      <w:r>
        <w:rPr>
          <w:b/>
        </w:rPr>
        <w:t>What you could offer:</w:t>
      </w:r>
      <w:r>
        <w:t xml:space="preserve"> A dated schedule with revenue-contingent triggers. A first arrears instalment this year within your limit. Non-cash elements: a written implementation committee with union representation, quarterly reporting, or backdating recognition without immediate payment.</w:t>
      </w:r>
    </w:p>
    <w:p>
      <w:pPr>
        <w:widowControl/>
      </w:pPr>
      <w:r>
        <w:rPr>
          <w:b/>
        </w:rPr>
        <w:t>What you cannot offer:</w:t>
      </w:r>
      <w:r>
        <w:t xml:space="preserve"> A commitment that ignores the ceiling entirely, or an unconditional full-arrears settlement this year.</w:t>
      </w:r>
    </w:p>
    <w:p>
      <w:pPr>
        <w:widowControl/>
      </w:pPr>
      <w:r>
        <w:rPr>
          <w:b/>
        </w:rPr>
        <w:t>Quietly:</w:t>
      </w:r>
      <w:r>
        <w:t xml:space="preserve"> You accept the entitlement is valid. Your problem is timing and visibility, not principle. Saying that out loud early may build trust — or may be read as an admission that removes your leverage. That is your judgement to make.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Plenary A  Public Health  Employer team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Health Employer Confidential Brief</dc:title>
  <dc:subject>Day 4 Session 4 Plenary A Employer team</dc:subject>
  <dc:creator>ITCILO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