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 Health Union Confidential Brief</w:t>
      </w:r>
    </w:p>
    <w:p>
      <w:r>
        <w:rPr>
          <w:b/>
        </w:rPr>
        <w:t>Day 4 Session 4   Plenary A   Union team</w:t>
      </w:r>
    </w:p>
    <w:p>
      <w:r>
        <w:t>Read only this handout and the public health shared facts. Keep your confidential information within your assigned team.</w:t>
      </w:r>
    </w:p>
    <w:p>
      <w:r>
        <w:t>Fictional training exercise. All institutions, disputes, mandates and figures are invented for learning.</w:t>
      </w:r>
    </w:p>
    <w:p>
      <w:pPr>
        <w:widowControl/>
      </w:pPr>
      <w:r>
        <w:rPr>
          <w:b/>
        </w:rPr>
        <w:t>A second item, not in your mandate:</w:t>
      </w:r>
      <w:r>
        <w:t xml:space="preserve"> Members have raised the night-duty roster, and the fact that maternity cover falls on the staff who remain on the ward. This did not come through the branch committee, so it is yours to table or to drop. It is cheap and it is popular, and it will cost you table time you may want for the arrears. Deciding that is part of today.</w:t>
      </w:r>
    </w:p>
    <w:p>
      <w:pPr>
        <w:widowControl/>
      </w:pPr>
      <w:r>
        <w:rPr>
          <w:b/>
        </w:rPr>
        <w:t>Do not read:</w:t>
      </w:r>
      <w:r>
        <w:t xml:space="preserve"> the separate employer-side download.</w:t>
      </w:r>
    </w:p>
    <w:p>
      <w:pPr>
        <w:widowControl/>
      </w:pPr>
      <w:r>
        <w:rPr>
          <w:b/>
        </w:rPr>
        <w:t>Your mandate:</w:t>
      </w:r>
      <w:r>
        <w:t xml:space="preserve"> Secure a binding, dated schedule for phases two and three, and a first payment of arrears within the current financial year. Your members voted for this mandate three weeks ago.</w:t>
      </w:r>
    </w:p>
    <w:p>
      <w:pPr>
        <w:widowControl/>
      </w:pPr>
      <w:r>
        <w:rPr>
          <w:b/>
        </w:rPr>
        <w:t>Your walk-away:</w:t>
      </w:r>
      <w:r>
        <w:t xml:space="preserve"> You may not leave with a commitment that has no date attached. A dateless commitment is what produced this dispute.</w:t>
      </w:r>
    </w:p>
    <w:p>
      <w:pPr>
        <w:widowControl/>
      </w:pPr>
      <w:r>
        <w:rPr>
          <w:b/>
        </w:rPr>
        <w:t>What you know that they may not:</w:t>
      </w:r>
      <w:r>
        <w:t xml:space="preserve"> Two of your members have been told informally that the county has an unspent balance on a donor-funded programme that closed last year. You do not know the amount and cannot prove it. Treat this as an unverified lead; do not assume the funds are legally available for remuneration.</w:t>
      </w:r>
    </w:p>
    <w:p>
      <w:pPr>
        <w:widowControl/>
      </w:pPr>
      <w:r>
        <w:rPr>
          <w:b/>
        </w:rPr>
        <w:t>Your pressure:</w:t>
      </w:r>
      <w:r>
        <w:t xml:space="preserve"> Your branch committee meets in ten days. If you return with nothing dated, a strike ballot is the likely next step, which your national office would prefer to avoid.</w:t>
      </w:r>
    </w:p>
    <w:p>
      <w:pPr>
        <w:widowControl/>
      </w:pPr>
      <w:r>
        <w:rPr>
          <w:b/>
        </w:rPr>
        <w:t>What you could accept:</w:t>
      </w:r>
      <w:r>
        <w:t xml:space="preserve"> Phasing over a longer period than originally agreed, if the schedule is dated and written. Arrears paid in instalments. A smaller first instalment than you will open with.</w:t>
      </w:r>
    </w:p>
    <w:p>
      <w:pPr>
        <w:widowControl/>
      </w:pPr>
      <w:r>
        <w:rPr>
          <w:b/>
        </w:rPr>
        <w:t>What you cannot accept:</w:t>
      </w:r>
      <w:r>
        <w:t xml:space="preserve"> Reopening the allowance rates themselves. Those were settled nationally and are not yours to renegotiate.</w:t>
      </w:r>
    </w:p>
    <w:p>
      <w:pPr>
        <w:widowControl/>
      </w:pPr>
      <w:r>
        <w:rPr>
          <w:b/>
        </w:rPr>
        <w:t>Quietly:</w:t>
      </w:r>
      <w:r>
        <w:t xml:space="preserve"> You know the wage bill is above the ceiling. You also know the ceiling has been breached by this county for four years without consequence, which weakens it as an argument — but saying so too bluntly will harden the other side.</w:t>
      </w:r>
    </w:p>
    <w:sectPr w:rsidR="00FC693F" w:rsidRPr="0006063C" w:rsidSect="00034616">
      <w:footerReference w:type="default" r:id="rId9"/>
      <w:pgSz w:w="12240" w:h="15840"/>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Plenary A  Public Health  Union team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Union Confidential Brief</dc:title>
  <dc:subject>Day 4 Session 4 Plenary A Union team</dc:subject>
  <dc:creator>ITCILO</dc:creator>
  <cp:keywords/>
  <dc:description>generated by python-docx</dc:description>
  <cp:lastModifiedBy/>
  <cp:revision>1</cp:revision>
  <dcterms:created xsi:type="dcterms:W3CDTF">2013-12-23T23:15:00Z</dcterms:created>
  <dcterms:modified xsi:type="dcterms:W3CDTF">2013-12-23T23:15:00Z</dcterms:modified>
  <cp:category/>
</cp:coreProperties>
</file>