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Reflection: two applications, one lifecycle run twice</w:t>
      </w:r>
    </w:p>
    <w:p>
      <w:pPr>
        <w:spacing w:after="180"/>
      </w:pPr>
      <w:r>
        <w:rPr>
          <w:color w:val="6E7178"/>
          <w:sz w:val="20"/>
          <w:szCs w:val="20"/>
        </w:rPr>
        <w:t xml:space="preserve">GridPilot AI and Meridian Financial · Workshops 1–6</w:t>
      </w:r>
    </w:p>
    <w:p>
      <w:pPr>
        <w:pBdr>
          <w:bottom w:val="single" w:color="C9C9C6" w:sz="6"/>
        </w:pBdr>
        <w:spacing w:after="200"/>
      </w:pPr>
      <w:r>
        <w:rPr>
          <w:sz w:val="2"/>
          <w:szCs w:val="2"/>
        </w:rPr>
        <w:t xml:space="preserve"/>
      </w:r>
    </w:p>
    <w:p>
      <w:pPr>
        <w:pStyle w:val="Heading1"/>
        <w:spacing w:after="130" w:before="260"/>
      </w:pPr>
      <w:r>
        <w:rPr>
          <w:b/>
          <w:bCs/>
          <w:sz w:val="24"/>
          <w:szCs w:val="24"/>
        </w:rPr>
        <w:t xml:space="preserve">Where I started</w:t>
      </w:r>
    </w:p>
    <w:p>
      <w:pPr>
        <w:spacing w:after="160" w:line="300"/>
      </w:pPr>
      <w:r>
        <w:rPr>
          <w:sz w:val="22"/>
          <w:szCs w:val="22"/>
        </w:rPr>
        <w:t xml:space="preserve">In Workshop 1 I built GridPilot AI as a single-file Claude Artifacts prototype: one React component, documents inline, no build step. It answered the only question a prototype needs to answer — is a cited-answer interface actually better than searching a PDF — and it was impossible to test, review or deploy. Migrating it into a Vite project in Workshop 2 turned one file into twenty-seven, and that was not tidying. Pulling retrieval out into its own module is what made confidence banding something I could reason about.</w:t>
      </w:r>
    </w:p>
    <w:p>
      <w:pPr>
        <w:spacing w:after="160" w:line="300"/>
      </w:pPr>
      <w:r>
        <w:rPr>
          <w:sz w:val="22"/>
          <w:szCs w:val="22"/>
        </w:rPr>
        <w:t xml:space="preserve">Workshop 3 taught me that deployment is a shape question before it is a technical one. I had assumed a deployed app meant a server; a static bundle does not need one, and choosing hosting that matched the artifact removed most of the work instead of adding to it. Workshop 4 produced the comment I did not expect: “How do I even run this?” I had been starting the app with a dev server for weeks and had stopped seeing that a command line is a barrier.</w:t>
      </w:r>
    </w:p>
    <w:p>
      <w:pPr>
        <w:pStyle w:val="Heading1"/>
        <w:spacing w:after="130" w:before="260"/>
      </w:pPr>
      <w:r>
        <w:rPr>
          <w:b/>
          <w:bCs/>
          <w:sz w:val="24"/>
          <w:szCs w:val="24"/>
        </w:rPr>
        <w:t xml:space="preserve">How AI assistance changed the way I work</w:t>
      </w:r>
    </w:p>
    <w:p>
      <w:pPr>
        <w:spacing w:after="160" w:line="300"/>
      </w:pPr>
      <w:r>
        <w:rPr>
          <w:sz w:val="22"/>
          <w:szCs w:val="22"/>
        </w:rPr>
        <w:t xml:space="preserve">The difference between the two applications was not how much I used AI, but when. GridPilot was built by conversation: ask, look at the result, adjust. Meridian Financial started with a written brief and fifteen milestones, argued over before a single file existed, and every later prompt could point at it. That one change removed most of the rework, because the expensive mistakes are not bad lines of code — they are the right code in the wrong shape.</w:t>
      </w:r>
    </w:p>
    <w:p>
      <w:pPr>
        <w:spacing w:after="160" w:line="300"/>
      </w:pPr>
      <w:r>
        <w:rPr>
          <w:sz w:val="22"/>
          <w:szCs w:val="22"/>
        </w:rPr>
        <w:t xml:space="preserve">The second change was learning to treat the model as a component with failure modes rather than an oracle. When a smaller local model was confidently wrong about cryptic merchant descriptors, my instinct was to write a sterner prompt. It made the output worse. The fix was a deterministic confidence cap in Python, applied after the model answered. That became the rule I built the rest of the application around: judgment in the model, guarantees in code. Totals, category identifiers and confidence ceilings are computed, never asked for.</w:t>
      </w:r>
    </w:p>
    <w:p>
      <w:pPr>
        <w:spacing w:after="160" w:line="300"/>
      </w:pPr>
      <w:r>
        <w:rPr>
          <w:sz w:val="22"/>
          <w:szCs w:val="22"/>
        </w:rPr>
        <w:t xml:space="preserve">The third change was economic. Assistance made tests cheap enough that I stopped rationing them: 205 backend tests, against the first application's manual checklist.</w:t>
      </w:r>
    </w:p>
    <w:p>
      <w:pPr>
        <w:pStyle w:val="Heading1"/>
        <w:spacing w:after="130" w:before="260"/>
      </w:pPr>
      <w:r>
        <w:rPr>
          <w:b/>
          <w:bCs/>
          <w:sz w:val="24"/>
          <w:szCs w:val="24"/>
        </w:rPr>
        <w:t xml:space="preserve">The most valuable lesson</w:t>
      </w:r>
    </w:p>
    <w:p>
      <w:pPr>
        <w:spacing w:after="160" w:line="300"/>
      </w:pPr>
      <w:r>
        <w:rPr>
          <w:sz w:val="22"/>
          <w:szCs w:val="22"/>
        </w:rPr>
        <w:t xml:space="preserve">A green test run proves the code is correct in the environment the tests run in. Download, install and deployment are each a different environment.</w:t>
      </w:r>
    </w:p>
    <w:p>
      <w:pPr>
        <w:spacing w:after="160" w:line="300"/>
      </w:pPr>
      <w:r>
        <w:rPr>
          <w:sz w:val="22"/>
          <w:szCs w:val="22"/>
        </w:rPr>
        <w:t xml:space="preserve">I learned this three times, expensively. A full suite passed while the downloaded application showed a blank white page on Windows, because that machine's registry maps .js to text/plain and browsers refuse to execute a module served that way. Another blank page appeared after a rebuild, because a cached HTML file pointed at bundles that no longer existed. A third defect would have made every document in the deployed container unreadable, because file paths were recorded absolutely and the image builds its database in one directory and reads it from another. None is a logic error, and no unit test would have found any of them.</w:t>
      </w:r>
    </w:p>
    <w:p>
      <w:pPr>
        <w:spacing w:after="160" w:line="300"/>
      </w:pPr>
      <w:r>
        <w:rPr>
          <w:sz w:val="22"/>
          <w:szCs w:val="22"/>
        </w:rPr>
        <w:t xml:space="preserve">What changed is that those environments are now testable things rather than assumptions. The suite includes a poisoned MIME map, a cache-header assertion, and an absolute-path case, because each of those reproduces the environment that actually broke.</w:t>
      </w:r>
    </w:p>
    <w:p>
      <w:pPr>
        <w:pStyle w:val="Heading1"/>
        <w:spacing w:after="130" w:before="260"/>
      </w:pPr>
      <w:r>
        <w:rPr>
          <w:b/>
          <w:bCs/>
          <w:sz w:val="24"/>
          <w:szCs w:val="24"/>
        </w:rPr>
        <w:t xml:space="preserve">How I will apply this</w:t>
      </w:r>
    </w:p>
    <w:p>
      <w:pPr>
        <w:spacing w:after="160" w:line="300"/>
      </w:pPr>
      <w:r>
        <w:rPr>
          <w:sz w:val="22"/>
          <w:szCs w:val="22"/>
        </w:rPr>
        <w:t xml:space="preserve">Three habits are coming with me. Write the brief and the decision record before the code, because the reasoning is worth more later than the diff. Decide the deployment shape at the start rather than the end — Meridian's database layer was portable from its first migration, which is why deploying it was one command instead of a rewrite. And put the artifact in someone else's hands early: the two most useful pieces of feedback across six workshops both came from someone trying to use the thing rather than watching me demonstrate it.</w:t>
      </w:r>
    </w:p>
    <w:p>
      <w:pPr>
        <w:spacing w:after="160" w:line="300"/>
      </w:pPr>
      <w:r>
        <w:rPr>
          <w:sz w:val="22"/>
          <w:szCs w:val="22"/>
        </w:rPr>
        <w:t xml:space="preserve">The last habit is the one I would defend hardest. Both applications state their limitations where a reader hits them first: GridPilot's README opens by saying retrieval is simulated, and Meridian's public deployment says plainly that its AI features are unavailable because it refuses to send financial data to a model it does not host. It would have been easy to let either one imply more than it does. Being honest about what a thing cannot do turned out to be a design skill rather than a disclaimer.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9CA1"/>
        <w:sz w:val="16"/>
        <w:szCs w:val="16"/>
      </w:rPr>
      <w:t xml:space="preserve">Capstone Reflection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Reflection</dc:title>
  <dc:creator>AIML-515 Capstone</dc:creator>
  <dc:description>Reflection on Workshops 1-6, GridPilot AI and Meridian Financial.</dc:description>
  <cp:lastModifiedBy>Un-named</cp:lastModifiedBy>
  <cp:revision>1</cp:revision>
  <dcterms:created xsi:type="dcterms:W3CDTF">2026-08-17T03:12:04.278Z</dcterms:created>
  <dcterms:modified xsi:type="dcterms:W3CDTF">2026-08-17T03:12:04.279Z</dcterms:modified>
</cp:coreProperties>
</file>

<file path=docProps/custom.xml><?xml version="1.0" encoding="utf-8"?>
<Properties xmlns="http://schemas.openxmlformats.org/officeDocument/2006/custom-properties" xmlns:vt="http://schemas.openxmlformats.org/officeDocument/2006/docPropsVTypes"/>
</file>