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sz w:val="36"/>
          <w:szCs w:val="36"/>
        </w:rPr>
        <w:t xml:space="preserve">Meridian Financial</w:t>
      </w:r>
    </w:p>
    <w:p>
      <w:pPr>
        <w:spacing w:after="200"/>
      </w:pPr>
      <w:r>
        <w:rPr>
          <w:color w:val="6E7178"/>
          <w:sz w:val="22"/>
          <w:szCs w:val="22"/>
        </w:rPr>
        <w:t xml:space="preserve">An honest ledger for money spread across too many institutions</w:t>
      </w:r>
    </w:p>
    <w:p>
      <w:pPr>
        <w:pBdr>
          <w:bottom w:val="single" w:color="C9C9C6" w:sz="6"/>
        </w:pBdr>
        <w:spacing w:after="190"/>
      </w:pPr>
      <w:r>
        <w:rPr>
          <w:sz w:val="2"/>
          <w:szCs w:val="2"/>
        </w:rPr>
        <w:t xml:space="preserve"/>
      </w:r>
    </w:p>
    <w:p>
      <w:pPr>
        <w:pStyle w:val="Heading1"/>
        <w:spacing w:after="150" w:before="300"/>
      </w:pPr>
      <w:r>
        <w:rPr>
          <w:b/>
          <w:bCs/>
          <w:sz w:val="25"/>
          <w:szCs w:val="25"/>
        </w:rPr>
        <w:t xml:space="preserve">Application overview</w:t>
      </w:r>
    </w:p>
    <w:p>
      <w:pPr>
        <w:spacing w:after="140" w:line="268"/>
      </w:pPr>
      <w:r>
        <w:rPr>
          <w:sz w:val="20"/>
          <w:szCs w:val="20"/>
        </w:rPr>
        <w:t xml:space="preserve">Meridian Financial consolidates accounts, statements and transactions from many institutions into one ledger, and then does the thing nobody does by hand: it checks that the statements and the live account feeds actually agree.</w:t>
      </w:r>
    </w:p>
    <w:p>
      <w:pPr>
        <w:spacing w:after="95" w:before="190"/>
      </w:pPr>
      <w:r>
        <w:rPr>
          <w:b/>
          <w:bCs/>
          <w:sz w:val="21"/>
          <w:szCs w:val="21"/>
        </w:rPr>
        <w:t xml:space="preserve">The problem it solves</w:t>
      </w:r>
    </w:p>
    <w:p>
      <w:pPr>
        <w:spacing w:after="140" w:line="268"/>
      </w:pPr>
      <w:r>
        <w:rPr>
          <w:sz w:val="20"/>
          <w:szCs w:val="20"/>
        </w:rPr>
        <w:t xml:space="preserve">Money is scattered — a couple of banks, a credit card or two, a payment app, an exchange. Each one shows a slice, and the two records of the same account routinely disagree: a charge appears twice, an authorisation hold never clears, a cheque clears on paper but never reaches the app's feed. Spotting that means reading twelve months of statements line by line against twelve months of app history, so nobody does it, and small errors sit there for years.</w:t>
      </w:r>
    </w:p>
    <w:p>
      <w:pPr>
        <w:spacing w:after="95" w:before="190"/>
      </w:pPr>
      <w:r>
        <w:rPr>
          <w:b/>
          <w:bCs/>
          <w:sz w:val="21"/>
          <w:szCs w:val="21"/>
        </w:rPr>
        <w:t xml:space="preserve">Who it is for</w:t>
      </w:r>
    </w:p>
    <w:p>
      <w:pPr>
        <w:spacing w:after="140" w:line="268"/>
      </w:pPr>
      <w:r>
        <w:rPr>
          <w:sz w:val="20"/>
          <w:szCs w:val="20"/>
        </w:rPr>
        <w:t xml:space="preserve">People whose finances span several institutions and who want an accurate picture without handing a year of transaction history to a third-party service. The whole application runs on the user's own machine, and the AI layer is not permitted to leave it.</w:t>
      </w:r>
    </w:p>
    <w:p>
      <w:pPr>
        <w:spacing w:after="95" w:before="190"/>
      </w:pPr>
      <w:r>
        <w:rPr>
          <w:b/>
          <w:bCs/>
          <w:sz w:val="21"/>
          <w:szCs w:val="21"/>
        </w:rPr>
        <w:t xml:space="preserve">Key features</w:t>
      </w:r>
    </w:p>
    <w:p>
      <w:pPr>
        <w:pStyle w:val="ListParagraph"/>
        <w:numPr>
          <w:ilvl w:val="0"/>
          <w:numId w:val="2"/>
        </w:numPr>
        <w:spacing w:after="80" w:line="264"/>
      </w:pPr>
      <w:r>
        <w:rPr>
          <w:b/>
          <w:bCs/>
          <w:sz w:val="20"/>
          <w:szCs w:val="20"/>
        </w:rPr>
        <w:t xml:space="preserve">Statement ingestion that does real work — </w:t>
      </w:r>
      <w:r>
        <w:rPr>
          <w:sz w:val="20"/>
          <w:szCs w:val="20"/>
        </w:rPr>
        <w:t xml:space="preserve">PDF, CSV and OFX statements across five institution layouts, each with a different column order, date format and sign convention. One prints unsigned Withdrawals and Deposits columns, so a row's direction survives only in the running balance; another prints dates with no year on them at all.</w:t>
      </w:r>
    </w:p>
    <w:p>
      <w:pPr>
        <w:pStyle w:val="ListParagraph"/>
        <w:numPr>
          <w:ilvl w:val="0"/>
          <w:numId w:val="2"/>
        </w:numPr>
        <w:spacing w:after="80" w:line="264"/>
      </w:pPr>
      <w:r>
        <w:rPr>
          <w:b/>
          <w:bCs/>
          <w:sz w:val="20"/>
          <w:szCs w:val="20"/>
        </w:rPr>
        <w:t xml:space="preserve">Reconciliation with findings, not just totals — </w:t>
      </w:r>
      <w:r>
        <w:rPr>
          <w:sz w:val="20"/>
          <w:szCs w:val="20"/>
        </w:rPr>
        <w:t xml:space="preserve">compares each imported statement against the account feed for the same period and reports what differs: duplicate charges, transactions on the statement that never reached the feed, holds that never cleared. Matching is deterministic; a row dated one to three days apart in the two sources is matched, not flagged, because a false alarm costs more than a miss.</w:t>
      </w:r>
    </w:p>
    <w:p>
      <w:pPr>
        <w:pStyle w:val="ListParagraph"/>
        <w:numPr>
          <w:ilvl w:val="0"/>
          <w:numId w:val="2"/>
        </w:numPr>
        <w:spacing w:after="80" w:line="264"/>
      </w:pPr>
      <w:r>
        <w:rPr>
          <w:b/>
          <w:bCs/>
          <w:sz w:val="20"/>
          <w:szCs w:val="20"/>
        </w:rPr>
        <w:t xml:space="preserve">Deduplication across sources — </w:t>
      </w:r>
      <w:r>
        <w:rPr>
          <w:sz w:val="20"/>
          <w:szCs w:val="20"/>
        </w:rPr>
        <w:t xml:space="preserve">importing a statement for an account that already synced adds nothing. In the demo, 153 imported documents produced exactly one new row; the other few thousand matched what was already there.</w:t>
      </w:r>
    </w:p>
    <w:p>
      <w:pPr>
        <w:pStyle w:val="ListParagraph"/>
        <w:numPr>
          <w:ilvl w:val="0"/>
          <w:numId w:val="2"/>
        </w:numPr>
        <w:spacing w:after="80" w:line="264"/>
      </w:pPr>
      <w:r>
        <w:rPr>
          <w:b/>
          <w:bCs/>
          <w:sz w:val="20"/>
          <w:szCs w:val="20"/>
        </w:rPr>
        <w:t xml:space="preserve">A local AI layer that stays local — </w:t>
      </w:r>
      <w:r>
        <w:rPr>
          <w:sz w:val="20"/>
          <w:szCs w:val="20"/>
        </w:rPr>
        <w:t xml:space="preserve">categorisation and a question-answering coach run against a model on 127.0.0.1. There is no configuration that sends financial data anywhere, and the check is enforced at start-up rather than documented in a README.</w:t>
      </w:r>
    </w:p>
    <w:p>
      <w:pPr>
        <w:pStyle w:val="ListParagraph"/>
        <w:numPr>
          <w:ilvl w:val="0"/>
          <w:numId w:val="2"/>
        </w:numPr>
        <w:spacing w:after="80" w:line="264"/>
      </w:pPr>
      <w:r>
        <w:rPr>
          <w:b/>
          <w:bCs/>
          <w:sz w:val="20"/>
          <w:szCs w:val="20"/>
        </w:rPr>
        <w:t xml:space="preserve">Budgets and a what-if simulator — </w:t>
      </w:r>
      <w:r>
        <w:rPr>
          <w:sz w:val="20"/>
          <w:szCs w:val="20"/>
        </w:rPr>
        <w:t xml:space="preserve">targets per category per month, and a simulator for adjusting spending and seeing the effect before committing to it.</w:t>
      </w:r>
    </w:p>
    <w:p>
      <w:r>
        <w:br w:type="page"/>
      </w:r>
    </w:p>
    <w:p>
      <w:pPr>
        <w:pStyle w:val="Heading1"/>
        <w:spacing w:after="150" w:before="300"/>
      </w:pPr>
      <w:r>
        <w:rPr>
          <w:b/>
          <w:bCs/>
          <w:sz w:val="25"/>
          <w:szCs w:val="25"/>
        </w:rPr>
        <w:t xml:space="preserve">Live demo</w:t>
      </w:r>
    </w:p>
    <w:p>
      <w:pPr>
        <w:shd w:fill="F4F4F2" w:color="auto" w:val="clear"/>
        <w:spacing w:after="110" w:line="250"/>
      </w:pPr>
      <w:r>
        <w:rPr>
          <w:rFonts w:ascii="Consolas" w:cs="Consolas" w:eastAsia="Consolas" w:hAnsi="Consolas"/>
          <w:sz w:val="17"/>
          <w:szCs w:val="17"/>
        </w:rPr>
        <w:t xml:space="preserve">https://meridian-792468836580.us-central1.run.app</w:t>
      </w:r>
    </w:p>
    <w:p>
      <w:pPr>
        <w:spacing w:after="140" w:line="268"/>
      </w:pPr>
      <w:r>
        <w:rPr>
          <w:sz w:val="20"/>
          <w:szCs w:val="20"/>
        </w:rPr>
        <w:t xml:space="preserve">Two demo profiles are already signed up, and the welcome screen fills their passwords in — one click each, nothing to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F0F0EE" w:color="auto" w:val="clear"/>
            <w:tcMar>
              <w:top w:type="dxa" w:w="70"/>
              <w:left w:type="dxa" w:w="90"/>
              <w:bottom w:type="dxa" w:w="70"/>
              <w:right w:type="dxa" w:w="90"/>
            </w:tcMar>
          </w:tcPr>
          <w:p>
            <w:pPr>
              <w:spacing w:after="0" w:line="240"/>
            </w:pPr>
            <w:r>
              <w:rPr>
                <w:b/>
                <w:bCs/>
                <w:sz w:val="17"/>
                <w:szCs w:val="17"/>
              </w:rPr>
              <w:t xml:space="preserve">Profile</w:t>
            </w:r>
          </w:p>
        </w:tc>
        <w:tc>
          <w:tcPr>
            <w:tcW w:type="dxa" w:w="7460"/>
            <w:shd w:fill="F0F0EE" w:color="auto" w:val="clear"/>
            <w:tcMar>
              <w:top w:type="dxa" w:w="70"/>
              <w:left w:type="dxa" w:w="90"/>
              <w:bottom w:type="dxa" w:w="70"/>
              <w:right w:type="dxa" w:w="90"/>
            </w:tcMar>
          </w:tcPr>
          <w:p>
            <w:pPr>
              <w:spacing w:after="0" w:line="240"/>
            </w:pPr>
            <w:r>
              <w:rPr>
                <w:b/>
                <w:bCs/>
                <w:sz w:val="17"/>
                <w:szCs w:val="17"/>
              </w:rPr>
              <w:t xml:space="preserve">What it shows</w:t>
            </w:r>
          </w:p>
        </w:tc>
      </w:tr>
      <w:tr>
        <w:tc>
          <w:tcPr>
            <w:tcW w:type="dxa" w:w="1900"/>
            <w:tcMar>
              <w:top w:type="dxa" w:w="70"/>
              <w:left w:type="dxa" w:w="90"/>
              <w:bottom w:type="dxa" w:w="70"/>
              <w:right w:type="dxa" w:w="90"/>
            </w:tcMar>
          </w:tcPr>
          <w:p>
            <w:pPr>
              <w:spacing w:after="0" w:line="240"/>
            </w:pPr>
            <w:r>
              <w:rPr>
                <w:sz w:val="17"/>
                <w:szCs w:val="17"/>
              </w:rPr>
              <w:t xml:space="preserve">Jordan Reyes</w:t>
            </w:r>
          </w:p>
        </w:tc>
        <w:tc>
          <w:tcPr>
            <w:tcW w:type="dxa" w:w="7460"/>
            <w:tcMar>
              <w:top w:type="dxa" w:w="70"/>
              <w:left w:type="dxa" w:w="90"/>
              <w:bottom w:type="dxa" w:w="70"/>
              <w:right w:type="dxa" w:w="90"/>
            </w:tcMar>
          </w:tcPr>
          <w:p>
            <w:pPr>
              <w:spacing w:after="0" w:line="240"/>
            </w:pPr>
            <w:r>
              <w:rPr>
                <w:sz w:val="17"/>
                <w:szCs w:val="17"/>
              </w:rPr>
              <w:t xml:space="preserve">Twelve institutions, 117 imported statements, 79 reconciled periods, and three real findings buried in a year of data.</w:t>
            </w:r>
          </w:p>
        </w:tc>
      </w:tr>
      <w:tr>
        <w:tc>
          <w:tcPr>
            <w:tcW w:type="dxa" w:w="1900"/>
            <w:tcMar>
              <w:top w:type="dxa" w:w="70"/>
              <w:left w:type="dxa" w:w="90"/>
              <w:bottom w:type="dxa" w:w="70"/>
              <w:right w:type="dxa" w:w="90"/>
            </w:tcMar>
          </w:tcPr>
          <w:p>
            <w:pPr>
              <w:spacing w:after="0" w:line="240"/>
            </w:pPr>
            <w:r>
              <w:rPr>
                <w:sz w:val="17"/>
                <w:szCs w:val="17"/>
              </w:rPr>
              <w:t xml:space="preserve">Priya Raman</w:t>
            </w:r>
          </w:p>
        </w:tc>
        <w:tc>
          <w:tcPr>
            <w:tcW w:type="dxa" w:w="7460"/>
            <w:tcMar>
              <w:top w:type="dxa" w:w="70"/>
              <w:left w:type="dxa" w:w="90"/>
              <w:bottom w:type="dxa" w:w="70"/>
              <w:right w:type="dxa" w:w="90"/>
            </w:tcMar>
          </w:tcPr>
          <w:p>
            <w:pPr>
              <w:spacing w:after="0" w:line="240"/>
            </w:pPr>
            <w:r>
              <w:rPr>
                <w:sz w:val="17"/>
                <w:szCs w:val="17"/>
              </w:rPr>
              <w:t xml:space="preserve">A second, entirely separate ledger — different institutions, merchants and city. Nothing of the first profile is reachable from it.</w:t>
            </w:r>
          </w:p>
        </w:tc>
      </w:tr>
    </w:tbl>
    <w:p>
      <w:pPr>
        <w:spacing w:after="140" w:line="268"/>
      </w:pPr>
      <w:r>
        <w:rPr>
          <w:sz w:val="20"/>
          <w:szCs w:val="20"/>
        </w:rPr>
        <w:t xml:space="preserve">Both profiles arrive fully worked through — statements imported, transactions categorised, every period reconciled, budgets set — so no screen opens empty. Roughly 3,350 transactions across the two of them, all generated; no real financial data exists anywhere in the project.</w:t>
      </w:r>
    </w:p>
    <w:p>
      <w:pPr>
        <w:spacing w:after="140" w:line="268"/>
      </w:pPr>
      <w:r>
        <w:rPr>
          <w:i/>
          <w:iCs/>
          <w:sz w:val="20"/>
          <w:szCs w:val="20"/>
        </w:rPr>
        <w:t xml:space="preserve">Worth trying: open Reconciliation as the first profile and look for the November cheque for $230 that never reached the account feed. Every month afterwards still shows a $230 gap, because the feed's balance stays permanently higher than the statements imply. That is the point of the feature.</w:t>
      </w:r>
    </w:p>
    <w:p>
      <w:pPr>
        <w:spacing w:after="140" w:line="268"/>
      </w:pPr>
      <w:r>
        <w:rPr>
          <w:i/>
          <w:iCs/>
          <w:sz w:val="20"/>
          <w:szCs w:val="20"/>
        </w:rPr>
        <w:t xml:space="preserve">One thing does not work on the live URL, on purpose: the AI features. The application refuses to send financial data to a model it does not host locally, and a container in the cloud has no local model, so the Coach and the AI-assisted categoriser report themselves unavailable instead of quietly routing transactions to somebody's API. Everything else works. To see those features, run it locally with Ollama installed.</w:t>
      </w:r>
    </w:p>
    <w:p>
      <w:pPr>
        <w:pStyle w:val="Heading1"/>
        <w:spacing w:after="150" w:before="300"/>
      </w:pPr>
      <w:r>
        <w:rPr>
          <w:b/>
          <w:bCs/>
          <w:sz w:val="25"/>
          <w:szCs w:val="25"/>
        </w:rPr>
        <w:t xml:space="preserve">Technical report</w:t>
      </w:r>
    </w:p>
    <w:p>
      <w:pPr>
        <w:spacing w:after="95" w:before="190"/>
      </w:pPr>
      <w:r>
        <w:rPr>
          <w:b/>
          <w:bCs/>
          <w:sz w:val="21"/>
          <w:szCs w:val="21"/>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F0F0EE" w:color="auto" w:val="clear"/>
            <w:tcMar>
              <w:top w:type="dxa" w:w="70"/>
              <w:left w:type="dxa" w:w="90"/>
              <w:bottom w:type="dxa" w:w="70"/>
              <w:right w:type="dxa" w:w="90"/>
            </w:tcMar>
          </w:tcPr>
          <w:p>
            <w:pPr>
              <w:spacing w:after="0" w:line="240"/>
            </w:pPr>
            <w:r>
              <w:rPr>
                <w:b/>
                <w:bCs/>
                <w:sz w:val="17"/>
                <w:szCs w:val="17"/>
              </w:rPr>
              <w:t xml:space="preserve">Layer</w:t>
            </w:r>
          </w:p>
        </w:tc>
        <w:tc>
          <w:tcPr>
            <w:tcW w:type="dxa" w:w="7660"/>
            <w:shd w:fill="F0F0EE" w:color="auto" w:val="clear"/>
            <w:tcMar>
              <w:top w:type="dxa" w:w="70"/>
              <w:left w:type="dxa" w:w="90"/>
              <w:bottom w:type="dxa" w:w="70"/>
              <w:right w:type="dxa" w:w="90"/>
            </w:tcMar>
          </w:tcPr>
          <w:p>
            <w:pPr>
              <w:spacing w:after="0" w:line="240"/>
            </w:pPr>
            <w:r>
              <w:rPr>
                <w:b/>
                <w:bCs/>
                <w:sz w:val="17"/>
                <w:szCs w:val="17"/>
              </w:rPr>
              <w:t xml:space="preserve">Choice</w:t>
            </w:r>
          </w:p>
        </w:tc>
      </w:tr>
      <w:tr>
        <w:tc>
          <w:tcPr>
            <w:tcW w:type="dxa" w:w="1700"/>
            <w:tcMar>
              <w:top w:type="dxa" w:w="70"/>
              <w:left w:type="dxa" w:w="90"/>
              <w:bottom w:type="dxa" w:w="70"/>
              <w:right w:type="dxa" w:w="90"/>
            </w:tcMar>
          </w:tcPr>
          <w:p>
            <w:pPr>
              <w:spacing w:after="0" w:line="240"/>
            </w:pPr>
            <w:r>
              <w:rPr>
                <w:sz w:val="17"/>
                <w:szCs w:val="17"/>
              </w:rPr>
              <w:t xml:space="preserve">Frontend</w:t>
            </w:r>
          </w:p>
        </w:tc>
        <w:tc>
          <w:tcPr>
            <w:tcW w:type="dxa" w:w="7660"/>
            <w:tcMar>
              <w:top w:type="dxa" w:w="70"/>
              <w:left w:type="dxa" w:w="90"/>
              <w:bottom w:type="dxa" w:w="70"/>
              <w:right w:type="dxa" w:w="90"/>
            </w:tcMar>
          </w:tcPr>
          <w:p>
            <w:pPr>
              <w:spacing w:after="0" w:line="240"/>
            </w:pPr>
            <w:r>
              <w:rPr>
                <w:sz w:val="17"/>
                <w:szCs w:val="17"/>
              </w:rPr>
              <w:t xml:space="preserve">React 18 with TypeScript, built by Vite, styled with Tailwind. Compiled into the backend and served by it, so the deployment has no separate frontend host and needs no Node at runtime.</w:t>
            </w:r>
          </w:p>
        </w:tc>
      </w:tr>
      <w:tr>
        <w:tc>
          <w:tcPr>
            <w:tcW w:type="dxa" w:w="1700"/>
            <w:tcMar>
              <w:top w:type="dxa" w:w="70"/>
              <w:left w:type="dxa" w:w="90"/>
              <w:bottom w:type="dxa" w:w="70"/>
              <w:right w:type="dxa" w:w="90"/>
            </w:tcMar>
          </w:tcPr>
          <w:p>
            <w:pPr>
              <w:spacing w:after="0" w:line="240"/>
            </w:pPr>
            <w:r>
              <w:rPr>
                <w:sz w:val="17"/>
                <w:szCs w:val="17"/>
              </w:rPr>
              <w:t xml:space="preserve">Backend</w:t>
            </w:r>
          </w:p>
        </w:tc>
        <w:tc>
          <w:tcPr>
            <w:tcW w:type="dxa" w:w="7660"/>
            <w:tcMar>
              <w:top w:type="dxa" w:w="70"/>
              <w:left w:type="dxa" w:w="90"/>
              <w:bottom w:type="dxa" w:w="70"/>
              <w:right w:type="dxa" w:w="90"/>
            </w:tcMar>
          </w:tcPr>
          <w:p>
            <w:pPr>
              <w:spacing w:after="0" w:line="240"/>
            </w:pPr>
            <w:r>
              <w:rPr>
                <w:sz w:val="17"/>
                <w:szCs w:val="17"/>
              </w:rPr>
              <w:t xml:space="preserve">Python 3.11 with FastAPI, fully async. Layered strictly: routers do no business logic, services do no SQL, repositories do no HTTP. Every repository method takes a user id and filters on it.</w:t>
            </w:r>
          </w:p>
        </w:tc>
      </w:tr>
      <w:tr>
        <w:tc>
          <w:tcPr>
            <w:tcW w:type="dxa" w:w="1700"/>
            <w:tcMar>
              <w:top w:type="dxa" w:w="70"/>
              <w:left w:type="dxa" w:w="90"/>
              <w:bottom w:type="dxa" w:w="70"/>
              <w:right w:type="dxa" w:w="90"/>
            </w:tcMar>
          </w:tcPr>
          <w:p>
            <w:pPr>
              <w:spacing w:after="0" w:line="240"/>
            </w:pPr>
            <w:r>
              <w:rPr>
                <w:sz w:val="17"/>
                <w:szCs w:val="17"/>
              </w:rPr>
              <w:t xml:space="preserve">Database</w:t>
            </w:r>
          </w:p>
        </w:tc>
        <w:tc>
          <w:tcPr>
            <w:tcW w:type="dxa" w:w="7660"/>
            <w:tcMar>
              <w:top w:type="dxa" w:w="70"/>
              <w:left w:type="dxa" w:w="90"/>
              <w:bottom w:type="dxa" w:w="70"/>
              <w:right w:type="dxa" w:w="90"/>
            </w:tcMar>
          </w:tcPr>
          <w:p>
            <w:pPr>
              <w:spacing w:after="0" w:line="240"/>
            </w:pPr>
            <w:r>
              <w:rPr>
                <w:sz w:val="17"/>
                <w:szCs w:val="17"/>
              </w:rPr>
              <w:t xml:space="preserve">SQLite through SQLAlchemy 2 with Alembic migrations, written to stay PostgreSQL-compatible so moving to a hosted database is configuration rather than a rewrite. Money is stored as integer cents everywhere — never a float.</w:t>
            </w:r>
          </w:p>
        </w:tc>
      </w:tr>
      <w:tr>
        <w:tc>
          <w:tcPr>
            <w:tcW w:type="dxa" w:w="1700"/>
            <w:tcMar>
              <w:top w:type="dxa" w:w="70"/>
              <w:left w:type="dxa" w:w="90"/>
              <w:bottom w:type="dxa" w:w="70"/>
              <w:right w:type="dxa" w:w="90"/>
            </w:tcMar>
          </w:tcPr>
          <w:p>
            <w:pPr>
              <w:spacing w:after="0" w:line="240"/>
            </w:pPr>
            <w:r>
              <w:rPr>
                <w:sz w:val="17"/>
                <w:szCs w:val="17"/>
              </w:rPr>
              <w:t xml:space="preserve">Cloud services</w:t>
            </w:r>
          </w:p>
        </w:tc>
        <w:tc>
          <w:tcPr>
            <w:tcW w:type="dxa" w:w="7660"/>
            <w:tcMar>
              <w:top w:type="dxa" w:w="70"/>
              <w:left w:type="dxa" w:w="90"/>
              <w:bottom w:type="dxa" w:w="70"/>
              <w:right w:type="dxa" w:w="90"/>
            </w:tcMar>
          </w:tcPr>
          <w:p>
            <w:pPr>
              <w:spacing w:after="0" w:line="240"/>
            </w:pPr>
            <w:r>
              <w:rPr>
                <w:sz w:val="17"/>
                <w:szCs w:val="17"/>
              </w:rPr>
              <w:t xml:space="preserve">Google Cloud Run (the container), Cloud Build (builds the image from the Dockerfile), Artifact Registry (stores it). The service scales to zero between visits.</w:t>
            </w:r>
          </w:p>
        </w:tc>
      </w:tr>
      <w:tr>
        <w:tc>
          <w:tcPr>
            <w:tcW w:type="dxa" w:w="1700"/>
            <w:tcMar>
              <w:top w:type="dxa" w:w="70"/>
              <w:left w:type="dxa" w:w="90"/>
              <w:bottom w:type="dxa" w:w="70"/>
              <w:right w:type="dxa" w:w="90"/>
            </w:tcMar>
          </w:tcPr>
          <w:p>
            <w:pPr>
              <w:spacing w:after="0" w:line="240"/>
            </w:pPr>
            <w:r>
              <w:rPr>
                <w:sz w:val="17"/>
                <w:szCs w:val="17"/>
              </w:rPr>
              <w:t xml:space="preserve">AI</w:t>
            </w:r>
          </w:p>
        </w:tc>
        <w:tc>
          <w:tcPr>
            <w:tcW w:type="dxa" w:w="7660"/>
            <w:tcMar>
              <w:top w:type="dxa" w:w="70"/>
              <w:left w:type="dxa" w:w="90"/>
              <w:bottom w:type="dxa" w:w="70"/>
              <w:right w:type="dxa" w:w="90"/>
            </w:tcMar>
          </w:tcPr>
          <w:p>
            <w:pPr>
              <w:spacing w:after="0" w:line="240"/>
            </w:pPr>
            <w:r>
              <w:rPr>
                <w:sz w:val="17"/>
                <w:szCs w:val="17"/>
              </w:rPr>
              <w:t xml:space="preserve">A local model over Ollama, reached only on 127.0.0.1. A start-up check refuses any endpoint that does not resolve to loopback.</w:t>
            </w:r>
          </w:p>
        </w:tc>
      </w:tr>
    </w:tbl>
    <w:p>
      <w:pPr>
        <w:spacing w:after="140" w:line="268"/>
      </w:pPr>
      <w:r>
        <w:rPr>
          <w:i/>
          <w:iCs/>
          <w:sz w:val="20"/>
          <w:szCs w:val="20"/>
        </w:rPr>
        <w:t xml:space="preserve">Platform note: the brief describes AWS App Runner. This is deployed to Google Cloud Run instead — the same idea (hand it a container, get a public HTTPS URL, scale to zero) on the platform the first application already used.</w:t>
      </w:r>
    </w:p>
    <w:p>
      <w:pPr>
        <w:spacing w:after="95" w:before="190"/>
      </w:pPr>
      <w:r>
        <w:rPr>
          <w:b/>
          <w:bCs/>
          <w:sz w:val="21"/>
          <w:szCs w:val="21"/>
        </w:rPr>
        <w:t xml:space="preserve">Most challenging feature</w:t>
      </w:r>
    </w:p>
    <w:p>
      <w:pPr>
        <w:spacing w:after="140" w:line="268"/>
      </w:pPr>
      <w:r>
        <w:rPr>
          <w:sz w:val="20"/>
          <w:szCs w:val="20"/>
        </w:rPr>
        <w:t xml:space="preserve">Deduplication, and it was not close. When the same transaction arrives from a live feed and from a PDF statement, the two records differ in date by a day or three and in description entirely, and the same coffee shop legitimately charges the same amount twice in a week. Matching too eagerly silently deletes a real transaction from someone's ledger; matching too cautiously shows every purchase twice. It ended up as two layers: an exact hash that counts occurrences, so a genuine second identical charge survives, then a one-to-one assignment pass over amount-exact candidates within three days. The proof it works is the import figure above — 153 documents, one new row.</w:t>
      </w:r>
    </w:p>
    <w:p>
      <w:pPr>
        <w:spacing w:after="95" w:before="190"/>
      </w:pPr>
      <w:r>
        <w:rPr>
          <w:b/>
          <w:bCs/>
          <w:sz w:val="21"/>
          <w:szCs w:val="21"/>
        </w:rPr>
        <w:t xml:space="preserve">Biggest learning moment</w:t>
      </w:r>
    </w:p>
    <w:p>
      <w:pPr>
        <w:spacing w:after="140" w:line="268"/>
      </w:pPr>
      <w:r>
        <w:rPr>
          <w:sz w:val="20"/>
          <w:szCs w:val="20"/>
        </w:rPr>
        <w:t xml:space="preserve">The three worst bugs in this project all lived where the tests do not run. A full test suite passed while the downloaded application showed a blank white page on Windows, because that machine's registry maps .js to text/plain and browsers refuse to execute a module served that way. Another rendered blank after a rebuild because the browser had cached an HTML file pointing at bundles that no longer existed. A third would have made every document in the deployed version unreadable, because file paths were recorded absolutely and the container builds its database in one directory and reads it from another.</w:t>
      </w:r>
    </w:p>
    <w:p>
      <w:pPr>
        <w:spacing w:after="140" w:line="268"/>
      </w:pPr>
      <w:r>
        <w:rPr>
          <w:sz w:val="20"/>
          <w:szCs w:val="20"/>
        </w:rPr>
        <w:t xml:space="preserve">None of those is a logic error, and no amount of unit testing would have found them. A green test run proves the code is correct in the environment the tests run in — and download, install, and deployment are each a different environment. The fix was not more tests of the same kind; it was regression tests that reproduce the hostile environment, and actually running the deployment artefact rather than reading it.</w:t>
      </w:r>
    </w:p>
    <w:p>
      <w:pPr>
        <w:spacing w:after="95" w:before="190"/>
      </w:pPr>
      <w:r>
        <w:rPr>
          <w:b/>
          <w:bCs/>
          <w:sz w:val="21"/>
          <w:szCs w:val="21"/>
        </w:rPr>
        <w:t xml:space="preserve">How this differed from the first application</w:t>
      </w:r>
    </w:p>
    <w:p>
      <w:pPr>
        <w:spacing w:after="140" w:line="268"/>
      </w:pPr>
      <w:r>
        <w:rPr>
          <w:sz w:val="20"/>
          <w:szCs w:val="20"/>
        </w:rPr>
        <w:t xml:space="preserve">The first was a static site: a folder of files handed to a browser, with no server, no database and no runtime state to get wrong. This one is a running Python process with a database, migrations and seeded data, so the deployment was different in kind rather than a repeat. What made it go faster anyway was deciding the deployment shape at the start instead of the end — the database layer was written to be portable from the first migration, and the interface was compiled into the application, so the container needs no Node toolchain and one command deploys the whole thing.</w:t>
      </w:r>
    </w:p>
    <w:p>
      <w:r>
        <w:br w:type="page"/>
      </w:r>
    </w:p>
    <w:p>
      <w:pPr>
        <w:pStyle w:val="Heading1"/>
        <w:spacing w:after="150" w:before="300"/>
      </w:pPr>
      <w:r>
        <w:rPr>
          <w:b/>
          <w:bCs/>
          <w:sz w:val="25"/>
          <w:szCs w:val="25"/>
        </w:rPr>
        <w:t xml:space="preserve">Known issues and limitations</w:t>
      </w:r>
    </w:p>
    <w:p>
      <w:pPr>
        <w:spacing w:after="95" w:before="190"/>
      </w:pPr>
      <w:r>
        <w:rPr>
          <w:b/>
          <w:bCs/>
          <w:sz w:val="21"/>
          <w:szCs w:val="21"/>
        </w:rPr>
        <w:t xml:space="preserve">Current limitations</w:t>
      </w:r>
    </w:p>
    <w:p>
      <w:pPr>
        <w:pStyle w:val="ListParagraph"/>
        <w:numPr>
          <w:ilvl w:val="0"/>
          <w:numId w:val="2"/>
        </w:numPr>
        <w:spacing w:after="80" w:line="264"/>
      </w:pPr>
      <w:r>
        <w:rPr>
          <w:b/>
          <w:bCs/>
          <w:sz w:val="20"/>
          <w:szCs w:val="20"/>
        </w:rPr>
        <w:t xml:space="preserve">Data entered on the live URL does not persist. </w:t>
      </w:r>
      <w:r>
        <w:rPr>
          <w:sz w:val="20"/>
          <w:szCs w:val="20"/>
        </w:rPr>
        <w:t xml:space="preserve">The database is a file inside the container, so anything added there resets when the service scales to zero and starts fresh. The seeded demo data always returns because it is baked into the image. Fixing this means pointing the database URL at a hosted PostgreSQL instance — configuration, not a rewrite, since the schema was kept compatible from the beginning — at a real monthly cost, which is why it is not done.</w:t>
      </w:r>
    </w:p>
    <w:p>
      <w:pPr>
        <w:pStyle w:val="ListParagraph"/>
        <w:numPr>
          <w:ilvl w:val="0"/>
          <w:numId w:val="2"/>
        </w:numPr>
        <w:spacing w:after="80" w:line="264"/>
      </w:pPr>
      <w:r>
        <w:rPr>
          <w:b/>
          <w:bCs/>
          <w:sz w:val="20"/>
          <w:szCs w:val="20"/>
        </w:rPr>
        <w:t xml:space="preserve">AI features are unavailable on the public URL. </w:t>
      </w:r>
      <w:r>
        <w:rPr>
          <w:sz w:val="20"/>
          <w:szCs w:val="20"/>
        </w:rPr>
        <w:t xml:space="preserve">Described above; a deliberate consequence of the privacy rule rather than an omission.</w:t>
      </w:r>
    </w:p>
    <w:p>
      <w:pPr>
        <w:pStyle w:val="ListParagraph"/>
        <w:numPr>
          <w:ilvl w:val="0"/>
          <w:numId w:val="2"/>
        </w:numPr>
        <w:spacing w:after="80" w:line="264"/>
      </w:pPr>
      <w:r>
        <w:rPr>
          <w:b/>
          <w:bCs/>
          <w:sz w:val="20"/>
          <w:szCs w:val="20"/>
        </w:rPr>
        <w:t xml:space="preserve">Cold starts are visible. </w:t>
      </w:r>
      <w:r>
        <w:rPr>
          <w:sz w:val="20"/>
          <w:szCs w:val="20"/>
        </w:rPr>
        <w:t xml:space="preserve">The first request after an idle period takes about four seconds while a container starts. Building the seeded database into the image at build time cut that from what it was, but scale-to-zero always costs the first visitor something. The trade is a service that costs nothing while nobody is using it.</w:t>
      </w:r>
    </w:p>
    <w:p>
      <w:pPr>
        <w:spacing w:after="95" w:before="190"/>
      </w:pPr>
      <w:r>
        <w:rPr>
          <w:b/>
          <w:bCs/>
          <w:sz w:val="21"/>
          <w:szCs w:val="21"/>
        </w:rPr>
        <w:t xml:space="preserve">Not yet implemented</w:t>
      </w:r>
    </w:p>
    <w:p>
      <w:pPr>
        <w:pStyle w:val="ListParagraph"/>
        <w:numPr>
          <w:ilvl w:val="0"/>
          <w:numId w:val="2"/>
        </w:numPr>
        <w:spacing w:after="80" w:line="264"/>
      </w:pPr>
      <w:r>
        <w:rPr>
          <w:b/>
          <w:bCs/>
          <w:sz w:val="20"/>
          <w:szCs w:val="20"/>
        </w:rPr>
        <w:t xml:space="preserve">Real bank connections. </w:t>
      </w:r>
      <w:r>
        <w:rPr>
          <w:sz w:val="20"/>
          <w:szCs w:val="20"/>
        </w:rPr>
        <w:t xml:space="preserve">Account data comes from a mock provider behind a provider interface; the real-provider implementation exists as a documented stub, not working code. Building it needs credentials and a production agreement, neither of which a course project has.</w:t>
      </w:r>
    </w:p>
    <w:p>
      <w:pPr>
        <w:pStyle w:val="ListParagraph"/>
        <w:numPr>
          <w:ilvl w:val="0"/>
          <w:numId w:val="2"/>
        </w:numPr>
        <w:spacing w:after="80" w:line="264"/>
      </w:pPr>
      <w:r>
        <w:rPr>
          <w:b/>
          <w:bCs/>
          <w:sz w:val="20"/>
          <w:szCs w:val="20"/>
        </w:rPr>
        <w:t xml:space="preserve">A visible rules editor. </w:t>
      </w:r>
      <w:r>
        <w:rPr>
          <w:sz w:val="20"/>
          <w:szCs w:val="20"/>
        </w:rPr>
        <w:t xml:space="preserve">Corrections are already captured and fed back to improve later categorisation, but there is no screen for writing a rule directly — the user has to correct transactions and let it learn.</w:t>
      </w:r>
    </w:p>
    <w:p>
      <w:pPr>
        <w:pStyle w:val="ListParagraph"/>
        <w:numPr>
          <w:ilvl w:val="0"/>
          <w:numId w:val="2"/>
        </w:numPr>
        <w:spacing w:after="80" w:line="264"/>
      </w:pPr>
      <w:r>
        <w:rPr>
          <w:b/>
          <w:bCs/>
          <w:sz w:val="20"/>
          <w:szCs w:val="20"/>
        </w:rPr>
        <w:t xml:space="preserve">Multi-currency. </w:t>
      </w:r>
      <w:r>
        <w:rPr>
          <w:sz w:val="20"/>
          <w:szCs w:val="20"/>
        </w:rPr>
        <w:t xml:space="preserve">Amounts carry a currency code and are stored as integer minor units, so the data model is ready; there is no conversion or mixed-currency reporting on top of it.</w:t>
      </w:r>
    </w:p>
    <w:p>
      <w:pPr>
        <w:spacing w:after="95" w:before="190"/>
      </w:pPr>
      <w:r>
        <w:rPr>
          <w:b/>
          <w:bCs/>
          <w:sz w:val="21"/>
          <w:szCs w:val="21"/>
        </w:rPr>
        <w:t xml:space="preserve">Scalability constraints</w:t>
      </w:r>
    </w:p>
    <w:p>
      <w:pPr>
        <w:spacing w:after="140" w:line="268"/>
      </w:pPr>
      <w:r>
        <w:rPr>
          <w:sz w:val="20"/>
          <w:szCs w:val="20"/>
        </w:rPr>
        <w:t xml:space="preserve">The deployed service is pinned to a single instance, because the database is a file inside the container and two instances would mean two divergent copies of it. That is the binding limit, and it is the same change that fixes persistence — a hosted database removes both. Below that, the application is comfortable: queries are indexed and paginated, and the heaviest operation, reconciling every period at once, is a background-shaped job that took under a minute for 115 periods.</w:t>
      </w:r>
    </w:p>
    <w:p>
      <w:pPr>
        <w:pStyle w:val="Heading1"/>
        <w:spacing w:after="150" w:before="300"/>
      </w:pPr>
      <w:r>
        <w:rPr>
          <w:b/>
          <w:bCs/>
          <w:sz w:val="25"/>
          <w:szCs w:val="25"/>
        </w:rPr>
        <w:t xml:space="preserve">Three things I would add with more time</w:t>
      </w:r>
    </w:p>
    <w:p>
      <w:pPr>
        <w:pStyle w:val="ListParagraph"/>
        <w:numPr>
          <w:ilvl w:val="0"/>
          <w:numId w:val="3"/>
        </w:numPr>
        <w:spacing w:after="80" w:line="264"/>
      </w:pPr>
      <w:r>
        <w:rPr>
          <w:sz w:val="20"/>
          <w:szCs w:val="20"/>
        </w:rPr>
        <w:t xml:space="preserve">A hosted database, so the live URL keeps what people put into it. This is the one change that turns the deployment from a demonstration into something usable, and it also lifts the single-instance ceiling.</w:t>
      </w:r>
    </w:p>
    <w:p>
      <w:pPr>
        <w:pStyle w:val="ListParagraph"/>
        <w:numPr>
          <w:ilvl w:val="0"/>
          <w:numId w:val="3"/>
        </w:numPr>
        <w:spacing w:after="80" w:line="264"/>
      </w:pPr>
      <w:r>
        <w:rPr>
          <w:sz w:val="20"/>
          <w:szCs w:val="20"/>
        </w:rPr>
        <w:t xml:space="preserve">A real provider integration behind the existing interface, so the mock and the real feed are interchangeable. The interface was designed for this — the work is credentials, error handling and the reconnection flow, not architecture.</w:t>
      </w:r>
    </w:p>
    <w:p>
      <w:pPr>
        <w:pStyle w:val="ListParagraph"/>
        <w:numPr>
          <w:ilvl w:val="0"/>
          <w:numId w:val="3"/>
        </w:numPr>
        <w:spacing w:after="80" w:line="264"/>
      </w:pPr>
      <w:r>
        <w:rPr>
          <w:sz w:val="20"/>
          <w:szCs w:val="20"/>
        </w:rPr>
        <w:t xml:space="preserve">A rules screen for categorisation, so a user can say once that a descriptor means Groceries instead of correcting it repeatedly. The corrections are already recorded and already improve the model's later suggestions; what is missing is letting someone see and edit that knowledge directly.</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A9CA1"/>
        <w:sz w:val="15"/>
        <w:szCs w:val="15"/>
      </w:rPr>
      <w:t xml:space="preserve">Meridian Financial — Discussion Post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Financial — Showcase Post</dc:title>
  <dc:creator>Meridian Financial</dc:creator>
  <dc:description>Workshop discussion showcase for the second application.</dc:description>
  <cp:lastModifiedBy>Un-named</cp:lastModifiedBy>
  <cp:revision>1</cp:revision>
  <dcterms:created xsi:type="dcterms:W3CDTF">2026-08-16T22:56:26.460Z</dcterms:created>
  <dcterms:modified xsi:type="dcterms:W3CDTF">2026-08-16T22:56:26.473Z</dcterms:modified>
</cp:coreProperties>
</file>

<file path=docProps/custom.xml><?xml version="1.0" encoding="utf-8"?>
<Properties xmlns="http://schemas.openxmlformats.org/officeDocument/2006/custom-properties" xmlns:vt="http://schemas.openxmlformats.org/officeDocument/2006/docPropsVTypes"/>
</file>