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sz w:val="36"/>
          <w:szCs w:val="36"/>
        </w:rPr>
        <w:t xml:space="preserve">Meridian Financial</w:t>
      </w:r>
    </w:p>
    <w:p>
      <w:pPr>
        <w:spacing w:after="40"/>
      </w:pPr>
      <w:r>
        <w:rPr>
          <w:color w:val="6E7178"/>
          <w:sz w:val="23"/>
          <w:szCs w:val="23"/>
        </w:rPr>
        <w:t xml:space="preserve">Testing &amp; Security Report</w:t>
      </w:r>
    </w:p>
    <w:p>
      <w:pPr>
        <w:spacing w:after="200"/>
      </w:pPr>
      <w:r>
        <w:rPr>
          <w:color w:val="6E7178"/>
          <w:sz w:val="18"/>
          <w:szCs w:val="18"/>
        </w:rPr>
        <w:t xml:space="preserve">Application #2 · August 2026 · github.com/darrshen97-ui/Meridian</w:t>
      </w:r>
    </w:p>
    <w:p>
      <w:pPr>
        <w:pBdr>
          <w:bottom w:val="single" w:color="C9C9C6" w:sz="6"/>
        </w:pBdr>
        <w:spacing w:after="18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6181D"/>
          <w:sz w:val="25"/>
          <w:szCs w:val="25"/>
        </w:rPr>
        <w:t xml:space="preserve">1. Testing approach and coverage</w:t>
      </w:r>
    </w:p>
    <w:p>
      <w:pPr>
        <w:spacing w:after="130" w:line="268"/>
      </w:pPr>
      <w:r>
        <w:rPr>
          <w:sz w:val="20"/>
          <w:szCs w:val="20"/>
        </w:rPr>
        <w:t xml:space="preserve">Every feature was tested three ways: an automated suite that runs on each change, manual clicking of each screen and control in a browser, and adversarial inputs designed to break things. The suite now holds 158 backend tests and 13 frontend tests, all passing. Automated coverage includes the whole pipeline end to end — a full provider sync, importing all 117 sample statements, and reconciling 79 statement periods — so a regression anywhere in the chain fails the build rather than waiting to be noticed.</w:t>
      </w:r>
    </w:p>
    <w:p>
      <w:pPr>
        <w:spacing w:after="130" w:line="268"/>
      </w:pPr>
      <w:r>
        <w:rPr>
          <w:sz w:val="20"/>
          <w:szCs w:val="20"/>
        </w:rPr>
        <w:t xml:space="preserve">Testing was deliberately hostile rather than confirmatory. The mock provider injects a configurable failure rate and periodic rate-limit responses, so retry and back-off code is genuinely exercised; one test drives sync at a 50% failure rate and asserts the ledger still converges without duplicating a single row.</w:t>
      </w:r>
    </w:p>
    <w:p>
      <w:pPr>
        <w:spacing w:after="90" w:before="180"/>
      </w:pPr>
      <w:r>
        <w:rPr>
          <w:b/>
          <w:bCs/>
          <w:sz w:val="21"/>
          <w:szCs w:val="21"/>
        </w:rPr>
        <w:t xml:space="preserve">Feature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00"/>
        <w:gridCol w:w="1260"/>
      </w:tblGrid>
      <w:tr>
        <w:trPr>
          <w:tblHeader/>
        </w:trPr>
        <w:tc>
          <w:tcPr>
            <w:tcW w:type="dxa" w:w="2200"/>
            <w:shd w:fill="F0F0E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Feature</w:t>
            </w:r>
          </w:p>
        </w:tc>
        <w:tc>
          <w:tcPr>
            <w:tcW w:type="dxa" w:w="5900"/>
            <w:shd w:fill="F0F0E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What was tested</w:t>
            </w:r>
          </w:p>
        </w:tc>
        <w:tc>
          <w:tcPr>
            <w:tcW w:type="dxa" w:w="1260"/>
            <w:shd w:fill="F0F0E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Profile create / sign in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Valid + wrong password, short password, duplicate email, 9 bad attempts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Profile switching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Switch requires re-authentication; no data bleeds between profiles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Dashboard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Spending power, month comparison, attention counts, recent activity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Live sync (SSE)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Sync now, per-account progress, 50% provider failure rate, 429s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Accounts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Grouping, balances, closed accounts de-emphasised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Transactions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Search, 5 filters, paging, inline category edit + rollback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Statement upload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PDF / CSV / OFX, 117 documents, duplicate upload, 16 MB file, .xyz file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Import preview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Nothing written until confirmed; ambiguous account asks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Categorization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Rules pass, LLM pass, hallucinated category, model absent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Review queue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Accept, bulk apply, keyboard j/k/a/Shift+A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Reconciliation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79 periods, 13 planted anomalies, resolve action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AI coach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Grounded answers, 4-call cap, no-data honesty, model absent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Budgets + simulator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Set/clear target, projection, category with no history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Settings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Model status, speed test, sync, dev tool, audit log, theme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Error paths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Unknown API route, server exception, invalid dates, empty body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Responsive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1280 px and 375 px on every data-heavy screen</w:t>
            </w:r>
          </w:p>
        </w:tc>
        <w:tc>
          <w:tcPr>
            <w:tcW w:type="dxa" w:w="1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6181D"/>
          <w:sz w:val="25"/>
          <w:szCs w:val="25"/>
        </w:rPr>
        <w:t xml:space="preserve">2. Bugs found and fixed</w:t>
      </w:r>
    </w:p>
    <w:p>
      <w:pPr>
        <w:spacing w:after="130" w:line="268"/>
      </w:pPr>
      <w:r>
        <w:rPr>
          <w:sz w:val="20"/>
          <w:szCs w:val="20"/>
        </w:rPr>
        <w:t xml:space="preserve">Ten defects of substance were found and fixed. Three were found by a user running the packaged application on Windows, which is noted honestly below because it is the most useful lesson in this report: the automated suite could not see them, since all three lived in packaging and browser behaviour rather than in application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3000"/>
        <w:gridCol w:w="3460"/>
      </w:tblGrid>
      <w:tr>
        <w:trPr>
          <w:tblHeader/>
        </w:trPr>
        <w:tc>
          <w:tcPr>
            <w:tcW w:type="dxa" w:w="400"/>
            <w:shd w:fill="F0F0E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F0F0E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Symptom</w:t>
            </w:r>
          </w:p>
        </w:tc>
        <w:tc>
          <w:tcPr>
            <w:tcW w:type="dxa" w:w="3000"/>
            <w:shd w:fill="F0F0E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Cause</w:t>
            </w:r>
          </w:p>
        </w:tc>
        <w:tc>
          <w:tcPr>
            <w:tcW w:type="dxa" w:w="3460"/>
            <w:shd w:fill="F0F0E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Downloading the repository produced an app with no interface at all — the server ran, the browser showed a raw JSON error.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The built frontend was excluded by .gitignore as "build output".</w:t>
            </w:r>
          </w:p>
        </w:tc>
        <w:tc>
          <w:tcPr>
            <w:tcW w:type="dxa" w:w="3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Committed the built bundle; a missing interface now returns an explanatory page, not raw JSON.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On Windows the app loaded a blank white page with the correct window title.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Python reads MIME types from the Windows registry, where .js is often mapped to text/plain; browsers strictly MIME-check ES modules and silently refuse them.</w:t>
            </w:r>
          </w:p>
        </w:tc>
        <w:tc>
          <w:tcPr>
            <w:tcW w:type="dxa" w:w="3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Static files are now served from an explicit content-type table instead of the host registry. Reproduced by poisoning the MIME map, then verified fixed.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Blank page again after a rebuild, this time with no error at all.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index.html names content-hashed bundles but was served with no cache headers, so the browser reused an old copy pointing at files that no longer existed.</w:t>
            </w:r>
          </w:p>
        </w:tc>
        <w:tc>
          <w:tcPr>
            <w:tcW w:type="dxa" w:w="3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index.html is sent no-store; hashed assets cache for a year.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Live sync created duplicate accounts for anything a statement import had already created.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Sync matched accounts only by provider key, which statement-created accounts do not have.</w:t>
            </w:r>
          </w:p>
        </w:tc>
        <w:tc>
          <w:tcPr>
            <w:tcW w:type="dxa" w:w="3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Sync now adopts a matching account by mask and type on first run.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An account's ingested transactions vanished from the sync summary when only its balance refresh failed.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One try/except wrapped both operations, so a late failure discarded the earlier success.</w:t>
            </w:r>
          </w:p>
        </w:tc>
        <w:tc>
          <w:tcPr>
            <w:tcW w:type="dxa" w:w="3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Balance failure degrades the entry instead of failing the account.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Unknown /api paths returned an HTML page with status 200.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The single-page-app catch-all route swallowed API paths.</w:t>
            </w:r>
          </w:p>
        </w:tc>
        <w:tc>
          <w:tcPr>
            <w:tcW w:type="dxa" w:w="3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Unknown API paths return a JSON 404.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The local model auto-filed cryptic card descriptors (SQ *, TST*) with high confidence — wrong categories entering the ledger silently.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 small model is overconfident on processor prefixes that hide the real merchant.</w:t>
            </w:r>
          </w:p>
        </w:tc>
        <w:tc>
          <w:tcPr>
            <w:tcW w:type="dxa" w:w="3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Confidence for those descriptors is capped in code, so they can only be filed by the user's own correction.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The model stated incorrect dollar totals in its written answers.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It performed arithmetic instead of quoting the figures the tools had already computed.</w:t>
            </w:r>
          </w:p>
        </w:tc>
        <w:tc>
          <w:tcPr>
            <w:tcW w:type="dxa" w:w="3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Every figure is precomputed and handed to the model; the interface prints the true total regardless of the prose.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Account numbers masked with bullet characters became unreadable to the PDF parser.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The glyph extracts as a placeholder code, which would have broken account matching.</w:t>
            </w:r>
          </w:p>
        </w:tc>
        <w:tc>
          <w:tcPr>
            <w:tcW w:type="dxa" w:w="3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Masks use ASCII, as real statements do.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 rendering crash would have shown a blank screen.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No React error boundary existed.</w:t>
            </w:r>
          </w:p>
        </w:tc>
        <w:tc>
          <w:tcPr>
            <w:tcW w:type="dxa" w:w="3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An error boundary shows a recovery view; a global handler logs the traceback server-side and returns a message that leaks nothing.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6181D"/>
          <w:sz w:val="25"/>
          <w:szCs w:val="25"/>
        </w:rPr>
        <w:t xml:space="preserve">3. Security audit</w:t>
      </w:r>
    </w:p>
    <w:p>
      <w:pPr>
        <w:spacing w:after="130" w:line="268"/>
      </w:pPr>
      <w:r>
        <w:rPr>
          <w:sz w:val="20"/>
          <w:szCs w:val="20"/>
        </w:rPr>
        <w:t xml:space="preserve">A full audit was run across authentication, data isolation, injection, secret handling, file handling, error disclosure, and the AI data path. One live vulnerability was found and fixed during the audit; the remainder were verified as already controlled, with the specific control named.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900"/>
        <w:gridCol w:w="3660"/>
      </w:tblGrid>
      <w:tr>
        <w:trPr>
          <w:tblHeader/>
        </w:trPr>
        <w:tc>
          <w:tcPr>
            <w:tcW w:type="dxa" w:w="1500"/>
            <w:shd w:fill="F0F0E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Area</w:t>
            </w:r>
          </w:p>
        </w:tc>
        <w:tc>
          <w:tcPr>
            <w:tcW w:type="dxa" w:w="1300"/>
            <w:shd w:fill="F0F0E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2900"/>
            <w:shd w:fill="F0F0E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Risk</w:t>
            </w:r>
          </w:p>
        </w:tc>
        <w:tc>
          <w:tcPr>
            <w:tcW w:type="dxa" w:w="3660"/>
            <w:shd w:fill="F0F0E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Control in place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Brute-force sign-in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Found in this audit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Nothing limited password guesses against the published demo emails.</w:t>
            </w:r>
          </w:p>
        </w:tc>
        <w:tc>
          <w:tcPr>
            <w:tcW w:type="dxa" w:w="3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Eight failures per email triggers a five-minute lockout, returning 429 — verified by test.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Cross-profile data leakage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Designed against, verified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One profile's data reaching another would be the worst possible failure in a finance app.</w:t>
            </w:r>
          </w:p>
        </w:tc>
        <w:tc>
          <w:tcPr>
            <w:tcW w:type="dxa" w:w="3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Every repository method takes a user ID; a structural test fails the build if any method omits it, and an integration test proves profile A sees zero of profile B's rows on every endpoint.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Audited — none found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User input reaches search, filters and category lookups.</w:t>
            </w:r>
          </w:p>
        </w:tc>
        <w:tc>
          <w:tcPr>
            <w:tcW w:type="dxa" w:w="3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All queries use the SQLAlchemy ORM with bound parameters; no string-built SQL exists in the codebase.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Exposed secrets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Audited — none found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Keys or passwords committed to a public repository.</w:t>
            </w:r>
          </w:p>
        </w:tc>
        <w:tc>
          <w:tcPr>
            <w:tcW w:type="dxa" w:w="3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.env is git-ignored and only .env.example is committed; the session secret is generated on first run and stored with owner-only permissions; no credentials appear in source.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Password storage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In place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Plaintext or weak hashing.</w:t>
            </w:r>
          </w:p>
        </w:tc>
        <w:tc>
          <w:tcPr>
            <w:tcW w:type="dxa" w:w="3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Argon2id with a ten-character minimum and a strength meter.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Session hijacking / CSRF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In place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Token theft via JavaScript or cross-site form posts.</w:t>
            </w:r>
          </w:p>
        </w:tc>
        <w:tc>
          <w:tcPr>
            <w:tcW w:type="dxa" w:w="3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JWT stored in an httpOnly, SameSite=Strict cookie; the token is never readable from JavaScript.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Path traversal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In place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 crafted path escaping the static or upload directory.</w:t>
            </w:r>
          </w:p>
        </w:tc>
        <w:tc>
          <w:tcPr>
            <w:tcW w:type="dxa" w:w="3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Static paths are resolved and checked against the static root; uploaded filenames are stripped to a safe character set and stored under a per-user directory.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Denial of service by upload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Hardened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 very large file exhausting memory or disk.</w:t>
            </w:r>
          </w:p>
        </w:tc>
        <w:tc>
          <w:tcPr>
            <w:tcW w:type="dxa" w:w="3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Uploads over 15 MB are rejected with a specific message.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Information disclosure in errors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Hardened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Stack traces or internal paths shown to the user.</w:t>
            </w:r>
          </w:p>
        </w:tc>
        <w:tc>
          <w:tcPr>
            <w:tcW w:type="dxa" w:w="3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 global handler logs the detail server-side and returns a fixed message — verified by a test that injects an exception carrying a secret string.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Financial data leaving the machine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Core design guarantee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Transactions or balances sent to a third-party model.</w:t>
            </w:r>
          </w:p>
        </w:tc>
        <w:tc>
          <w:tcPr>
            <w:tcW w:type="dxa" w:w="3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The AI layer verifies its endpoint resolves to a loopback address and refuses to run otherwise; the cloud provider is disabled by default and labelled as off-device; every model call is recorded in an audit table.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Prompt injection via transaction text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Mitigated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Malicious text in a merchant name steering the AI into exposing other data.</w:t>
            </w:r>
          </w:p>
        </w:tc>
        <w:tc>
          <w:tcPr>
            <w:tcW w:type="dxa" w:w="3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Tools execute with the authenticated user's ID supplied by the server — the model never receives or can set a user ID — and unknown tool names are rejected.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Network exposure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In place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The finance app reachable from the local network.</w:t>
            </w:r>
          </w:p>
        </w:tc>
        <w:tc>
          <w:tcPr>
            <w:tcW w:type="dxa" w:w="3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The server binds to 127.0.0.1 only.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6181D"/>
          <w:sz w:val="25"/>
          <w:szCs w:val="25"/>
        </w:rPr>
        <w:t xml:space="preserve">4. Accessibility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Full keyboard operation, including a review queue designed for it (j/k to move, a to accept, Shift+A to accept for every matching merchant)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Visible focus rings on every interactive element, and a skip-to-content link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prefers-reduced-motion respected globally; motion only ever follows a user action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Semantic landmarks and labelled controls; live regions for status and error messages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Per-page document titles, so the browser tab and screen-reader announcement say which screen is open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Colour is never the only signal — status is always carried by text as well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Layout verified free of horizontal overflow at 375 px, with tabular figures kept aligned</w:t>
      </w:r>
    </w:p>
    <w:p>
      <w:pPr>
        <w:pStyle w:val="Heading1"/>
        <w:spacing w:after="140" w:before="280"/>
      </w:pPr>
      <w:r>
        <w:rPr>
          <w:b/>
          <w:bCs/>
          <w:color w:val="16181D"/>
          <w:sz w:val="25"/>
          <w:szCs w:val="25"/>
        </w:rPr>
        <w:t xml:space="preserve">5. Evidence</w:t>
      </w:r>
    </w:p>
    <w:p>
      <w:pPr>
        <w:spacing w:after="50" w:before="140"/>
        <w:jc w:val="center"/>
      </w:pPr>
      <w:r>
        <w:drawing>
          <wp:inline distT="0" distB="0" distL="0" distR="0">
            <wp:extent cx="4762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178"/>
          <w:sz w:val="16"/>
          <w:szCs w:val="16"/>
        </w:rPr>
        <w:t xml:space="preserve">Figure 1. The review queue: low-confidence suggestions are held for a human decision rather than filed silently, and the whole screen is operable from the keyboard.</w:t>
      </w:r>
    </w:p>
    <w:p>
      <w:pPr>
        <w:spacing w:after="50" w:before="140"/>
        <w:jc w:val="center"/>
      </w:pPr>
      <w:r>
        <w:drawing>
          <wp:inline distT="0" distB="0" distL="0" distR="0">
            <wp:extent cx="22860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178"/>
          <w:sz w:val="16"/>
          <w:szCs w:val="16"/>
        </w:rPr>
        <w:t xml:space="preserve">Figure 2. The transaction ledger at 375 pixels — verified free of horizontal overflow.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A9CA1"/>
        <w:sz w:val="15"/>
        <w:szCs w:val="15"/>
      </w:rPr>
      <w:t xml:space="preserve">Meridian Financial — Testing &amp; Security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29af08374f30a8e7fe396261f554bd5cd1ba9b.png"/><Relationship Id="rId9" Type="http://schemas.openxmlformats.org/officeDocument/2006/relationships/image" Target="media/234fa656c35e40ed7d7d136310d2de1334f7408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2026-08-10T04:12:53.058Z</dcterms:created>
  <dcterms:modified xsi:type="dcterms:W3CDTF">2026-08-10T04:12:53.058Z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