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496"/>
          <w:sz w:val="20"/>
          <w:szCs w:val="20"/>
        </w:rPr>
        <w:t xml:space="preserve">PAYFINIA — MONEY MOVEMENT ANALYTICS</w:t>
      </w:r>
    </w:p>
    <w:p>
      <w:pPr>
        <w:spacing w:after="40"/>
      </w:pPr>
      <w:r>
        <w:rPr>
          <w:b/>
          <w:bCs/>
          <w:color w:val="1F3864"/>
          <w:sz w:val="36"/>
          <w:szCs w:val="36"/>
        </w:rPr>
        <w:t xml:space="preserve">Deliverable 1 — Public Data Synthesis</w:t>
      </w:r>
    </w:p>
    <w:p>
      <w:pPr>
        <w:spacing w:after="40"/>
      </w:pPr>
      <w:r>
        <w:rPr>
          <w:i/>
          <w:iCs/>
          <w:color w:val="595959"/>
          <w:sz w:val="20"/>
          <w:szCs w:val="20"/>
        </w:rPr>
        <w:t xml:space="preserve">A structured summary of publicly available data on U.S. payment rail volumes, costs, fraud, and migration patterns — with citations and a data-quality assessment.</w:t>
      </w:r>
    </w:p>
    <w:p>
      <w:pPr>
        <w:pBdr>
          <w:bottom w:val="single" w:color="2E5496" w:sz="8" w:space="4"/>
        </w:pBdr>
        <w:spacing w:after="60"/>
      </w:pPr>
      <w:r>
        <w:rPr>
          <w:color w:val="595959"/>
          <w:sz w:val="16"/>
          <w:szCs w:val="16"/>
        </w:rPr>
        <w:t xml:space="preserve">USF FinTech Graduate Project Team   |   Prepared June 2026   |   Companion workbook: Payfinia_Deliverable1_Public_Data_Synthesis.xlsx</w:t>
      </w:r>
    </w:p>
    <w:p>
      <w:pPr>
        <w:spacing w:after="60"/>
      </w:pPr>
      <w:r>
        <w:t xml:space="preserve"/>
      </w:r>
    </w:p>
    <w:p>
      <w:pPr>
        <w:pStyle w:val="Heading1"/>
      </w:pPr>
      <w:r>
        <w:t xml:space="preserve">1. Executive Summary</w:t>
      </w:r>
    </w:p>
    <w:p>
      <w:pPr>
        <w:spacing w:after="140" w:line="276"/>
      </w:pPr>
      <w:r>
        <w:rPr>
          <w:b/>
          <w:bCs/>
        </w:rPr>
        <w:t xml:space="preserve">Purpose. </w:t>
      </w:r>
      <w:r>
        <w:t xml:space="preserve">This document is the first of four project deliverables. It assembles, in one place, the publicly available data needed to model the financial return a community financial institution (CFI) earns by migrating transaction volume from legacy rails (checks, wires, Same-Day ACH) to instant rails (FedNow, RTP). It is the factual foundation on which the downstream Migration ROI Model, CFI Archetype Analysis, and Interactive Calculator are built.</w:t>
      </w:r>
    </w:p>
    <w:p>
      <w:pPr>
        <w:spacing w:after="140" w:line="276"/>
      </w:pPr>
      <w:r>
        <w:rPr>
          <w:b/>
          <w:bCs/>
        </w:rPr>
        <w:t xml:space="preserve">Headline finding. </w:t>
      </w:r>
      <w:r>
        <w:t xml:space="preserve">The economic case for migration is real but rail-mix dependent. The largest savings come from displacing high-cost instruments — checks ($3–$20 per item, fully loaded) and wires ($15–$50) — with instant rails that cost roughly $0.045 in network fees. Moving volume off standard ACH (already $0.26–$0.50) saves far less. Any defensible ROI claim must therefore start from a CFI's specific mix of check, wire, and ACH volume, not a blended average.</w:t>
      </w:r>
    </w:p>
    <w:p>
      <w:pPr>
        <w:spacing w:after="140" w:line="276"/>
      </w:pPr>
      <w:r>
        <w:rPr>
          <w:b/>
          <w:bCs/>
        </w:rPr>
        <w:t xml:space="preserve">Market direction. </w:t>
      </w:r>
      <w:r>
        <w:t xml:space="preserve">Instant rails are scaling rapidly off a small base. In 2025, FedNow value grew about 460% year-over-year and RTP value grew about 428%, while legacy check volume continued its multi-year decline (about -5% per year). International analogs — Brazil's Pix and the UK's Faster Payments — confirm that once instant rails reach critical mass, they displace legacy instruments quickly and durably.</w:t>
      </w:r>
    </w:p>
    <w:p>
      <w:pPr>
        <w:spacing w:after="140" w:line="276"/>
      </w:pPr>
      <w:r>
        <w:rPr>
          <w:b/>
          <w:bCs/>
        </w:rPr>
        <w:t xml:space="preserve">How to read this document. </w:t>
      </w:r>
      <w:r>
        <w:t xml:space="preserve">Every figure below carries a source and a data-quality rating (High, Medium, or Indicative). High-quality figures come directly from the rail operators and regulators; Indicative figures are planning ranges to be confirmed against Payfinia production data in the calibration phase. The companion Excel workbook holds the same data in filterable tables for direct use by the modeling team.</w:t>
      </w:r>
    </w:p>
    <w:p>
      <w:pPr>
        <w:pStyle w:val="Heading1"/>
      </w:pPr>
      <w:r>
        <w:t xml:space="preserve">2. Rail Volumes &amp; Value</w:t>
      </w:r>
    </w:p>
    <w:p>
      <w:pPr>
        <w:spacing w:after="140" w:line="276"/>
      </w:pPr>
      <w:r>
        <w:t xml:space="preserve">The U.S. moves money across two families of rails. Legacy rails (checks, wires, ACH) carry the overwhelming majority of volume today; instant rails (FedNow, RTP) are small but growing extremely fast. The table shows the most recent full-year public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2160"/>
        <w:gridCol w:w="1900"/>
      </w:tblGrid>
      <w:tr>
        <w:tc>
          <w:tcPr>
            <w:tcW w:type="dxa" w:w="15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8"/>
                <w:szCs w:val="18"/>
              </w:rPr>
              <w:t xml:space="preserve">Rail</w:t>
            </w:r>
          </w:p>
        </w:tc>
        <w:tc>
          <w:tcPr>
            <w:tcW w:type="dxa" w:w="19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8"/>
                <w:szCs w:val="18"/>
              </w:rPr>
              <w:t xml:space="preserve">Annual Volume</w:t>
            </w:r>
          </w:p>
        </w:tc>
        <w:tc>
          <w:tcPr>
            <w:tcW w:type="dxa" w:w="19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8"/>
                <w:szCs w:val="18"/>
              </w:rPr>
              <w:t xml:space="preserve">Annual Value</w:t>
            </w:r>
          </w:p>
        </w:tc>
        <w:tc>
          <w:tcPr>
            <w:tcW w:type="dxa" w:w="21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8"/>
                <w:szCs w:val="18"/>
              </w:rPr>
              <w:t xml:space="preserve">Growth (YoY)</w:t>
            </w:r>
          </w:p>
        </w:tc>
        <w:tc>
          <w:tcPr>
            <w:tcW w:type="dxa" w:w="19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8"/>
                <w:szCs w:val="18"/>
              </w:rPr>
              <w:t xml:space="preserve">Quality</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ACH (total)</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35.2 billion</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$93 trillion</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+4.9% / +7.9% val</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High</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Same-Day ACH</w:t>
            </w:r>
          </w:p>
        </w:tc>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1.4 billion</w:t>
            </w:r>
          </w:p>
        </w:tc>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$3.9 trillion</w:t>
            </w:r>
          </w:p>
        </w:tc>
        <w:tc>
          <w:tcPr>
            <w:tcW w:type="dxa" w:w="2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+16.7% / +21.4%</w:t>
            </w:r>
          </w:p>
        </w:tc>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High</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Checks (commercial)</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~3.0 billion</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~$8.5T (est.)</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-5.4% vol</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High</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Wires (Fedwire)</w:t>
            </w:r>
          </w:p>
        </w:tc>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~205 million</w:t>
            </w:r>
          </w:p>
        </w:tc>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very high</w:t>
            </w:r>
          </w:p>
        </w:tc>
        <w:tc>
          <w:tcPr>
            <w:tcW w:type="dxa" w:w="2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low single-digit</w:t>
            </w:r>
          </w:p>
        </w:tc>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Medium</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FedNow</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~10.9 million</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$853.4 billion</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+460% value</w:t>
            </w:r>
          </w:p>
        </w:tc>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High</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RTP</w:t>
            </w:r>
          </w:p>
        </w:tc>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~475 million</w:t>
            </w:r>
          </w:p>
        </w:tc>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$1.3 trillion</w:t>
            </w:r>
          </w:p>
        </w:tc>
        <w:tc>
          <w:tcPr>
            <w:tcW w:type="dxa" w:w="2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+428% value</w:t>
            </w:r>
          </w:p>
        </w:tc>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High</w:t>
            </w:r>
          </w:p>
        </w:tc>
      </w:tr>
    </w:tbl>
    <w:p>
      <w:pPr>
        <w:spacing w:after="140" w:before="100"/>
      </w:pPr>
      <w:r>
        <w:rPr>
          <w:i/>
          <w:iCs/>
          <w:color w:val="595959"/>
          <w:sz w:val="18"/>
          <w:szCs w:val="18"/>
        </w:rPr>
        <w:t xml:space="preserve">Reading the table: ACH dominates by volume and value. Wires carry enormous value on relatively few, very large transactions (~$5.4M average). FedNow and RTP are small today but compounding fast. Checks are large and shrinking — the prime target for migration.</w:t>
      </w:r>
    </w:p>
    <w:p>
      <w:pPr>
        <w:pStyle w:val="Heading1"/>
      </w:pPr>
      <w:r>
        <w:t xml:space="preserve">3. Per-Transaction Costs (Unit Economics)</w:t>
      </w:r>
    </w:p>
    <w:p>
      <w:pPr>
        <w:spacing w:after="140" w:line="276"/>
      </w:pPr>
      <w:r>
        <w:t xml:space="preserve">The ROI of migration is driven by the cost gap between rails. The figure that matters is the fully-loaded cost — the network fee plus the operational overhead (manual handling, reconciliation, exception processing) a rail imposes.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c>
          <w:tcPr>
            <w:tcW w:type="dxa" w:w="16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8"/>
                <w:szCs w:val="18"/>
              </w:rPr>
              <w:t xml:space="preserve">Rail</w:t>
            </w:r>
          </w:p>
        </w:tc>
        <w:tc>
          <w:tcPr>
            <w:tcW w:type="dxa" w:w="24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8"/>
                <w:szCs w:val="18"/>
              </w:rPr>
              <w:t xml:space="preserve">Network Fee</w:t>
            </w:r>
          </w:p>
        </w:tc>
        <w:tc>
          <w:tcPr>
            <w:tcW w:type="dxa" w:w="25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8"/>
                <w:szCs w:val="18"/>
              </w:rPr>
              <w:t xml:space="preserve">Fully-Loaded Cost</w:t>
            </w:r>
          </w:p>
        </w:tc>
        <w:tc>
          <w:tcPr>
            <w:tcW w:type="dxa" w:w="28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8"/>
                <w:szCs w:val="18"/>
              </w:rPr>
              <w:t xml:space="preserve">Quality</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Check</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n/a</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$3.00 median; $4–$20</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Medium</w:t>
            </w:r>
          </w:p>
        </w:tc>
      </w:tr>
      <w:tr>
        <w:tc>
          <w:tcPr>
            <w:tcW w:type="dxa" w:w="1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ACH (standard)</w:t>
            </w:r>
          </w:p>
        </w:tc>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~$0.003</w:t>
            </w:r>
          </w:p>
        </w:tc>
        <w:tc>
          <w:tcPr>
            <w:tcW w:type="dxa" w:w="2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$0.26–$0.50</w:t>
            </w:r>
          </w:p>
        </w:tc>
        <w:tc>
          <w:tcPr>
            <w:tcW w:type="dxa" w:w="2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Medium</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Same-Day ACH</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small premium</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$1.00–$5.00</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Medium</w:t>
            </w:r>
          </w:p>
        </w:tc>
      </w:tr>
      <w:tr>
        <w:tc>
          <w:tcPr>
            <w:tcW w:type="dxa" w:w="1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Wire</w:t>
            </w:r>
          </w:p>
        </w:tc>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$0.82 (Fed)</w:t>
            </w:r>
          </w:p>
        </w:tc>
        <w:tc>
          <w:tcPr>
            <w:tcW w:type="dxa" w:w="2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$15–$50</w:t>
            </w:r>
          </w:p>
        </w:tc>
        <w:tc>
          <w:tcPr>
            <w:tcW w:type="dxa" w:w="2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Medium</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FedNow</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$0.045</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$0.045 + internal</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High</w:t>
            </w:r>
          </w:p>
        </w:tc>
      </w:tr>
      <w:tr>
        <w:tc>
          <w:tcPr>
            <w:tcW w:type="dxa" w:w="1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RTP</w:t>
            </w:r>
          </w:p>
        </w:tc>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$0.045</w:t>
            </w:r>
          </w:p>
        </w:tc>
        <w:tc>
          <w:tcPr>
            <w:tcW w:type="dxa" w:w="25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$0.045 + internal</w:t>
            </w:r>
          </w:p>
        </w:tc>
        <w:tc>
          <w:tcPr>
            <w:tcW w:type="dxa" w:w="2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High</w:t>
            </w:r>
          </w:p>
        </w:tc>
      </w:tr>
    </w:tbl>
    <w:p>
      <w:pPr>
        <w:spacing w:after="120" w:before="100"/>
      </w:pPr>
      <w:r>
        <w:rPr>
          <w:b/>
          <w:bCs/>
          <w:sz w:val="18"/>
          <w:szCs w:val="18"/>
        </w:rPr>
        <w:t xml:space="preserve">Why this matters: </w:t>
      </w:r>
      <w:r>
        <w:rPr>
          <w:color w:val="595959"/>
          <w:sz w:val="18"/>
          <w:szCs w:val="18"/>
        </w:rPr>
        <w:t xml:space="preserve">network fees are precise and public (High quality). Fully-loaded operational costs are ranges (Medium) and are the single largest source of variance in the ROI model — they should be a top sensitivity variable and a primary calibration target.</w:t>
      </w:r>
    </w:p>
    <w:p>
      <w:pPr>
        <w:pStyle w:val="Heading1"/>
      </w:pPr>
      <w:r>
        <w:t xml:space="preserve">4. Fraud &amp; Operational Loss Benchmarks</w:t>
      </w:r>
    </w:p>
    <w:p>
      <w:pPr>
        <w:spacing w:after="140" w:line="276"/>
      </w:pPr>
      <w:r>
        <w:t xml:space="preserve">Fraud and operational losses are a real component of rail economics. Public benchmarks measure the share of organizations affected by fraud on each rail (from the AFP Payments Fraud &amp; Control Survey) rather than dollar loss per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c>
          <w:tcPr>
            <w:tcW w:type="dxa" w:w="34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8"/>
                <w:szCs w:val="18"/>
              </w:rPr>
              <w:t xml:space="preserve">Metric (2025)</w:t>
            </w:r>
          </w:p>
        </w:tc>
        <w:tc>
          <w:tcPr>
            <w:tcW w:type="dxa" w:w="17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8"/>
                <w:szCs w:val="18"/>
              </w:rPr>
              <w:t xml:space="preserve">Value</w:t>
            </w:r>
          </w:p>
        </w:tc>
        <w:tc>
          <w:tcPr>
            <w:tcW w:type="dxa" w:w="42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tcPr>
          <w:p>
            <w:pPr>
              <w:jc w:val="center"/>
            </w:pPr>
            <w:r>
              <w:rPr>
                <w:b/>
                <w:bCs/>
                <w:color w:val="FFFFFF"/>
                <w:sz w:val="18"/>
                <w:szCs w:val="18"/>
              </w:rPr>
              <w:t xml:space="preserve">Interpretation</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Orgs hit by payments fraud</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76%</w:t>
            </w:r>
          </w:p>
        </w:tc>
        <w:tc>
          <w:tcPr>
            <w:tcW w:type="dxa" w:w="4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3 in 4 organizations affected</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Check fraud incidence</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58%</w:t>
            </w:r>
          </w:p>
        </w:tc>
        <w:tc>
          <w:tcPr>
            <w:tcW w:type="dxa" w:w="42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Most-targeted instrument</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ACH-debit fraud incidence</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30%</w:t>
            </w:r>
          </w:p>
        </w:tc>
        <w:tc>
          <w:tcPr>
            <w:tcW w:type="dxa" w:w="4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Second-most targeted</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Wire fraud incidence</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25%</w:t>
            </w:r>
          </w:p>
        </w:tc>
        <w:tc>
          <w:tcPr>
            <w:tcW w:type="dxa" w:w="42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b w:val="false"/>
                <w:bCs w:val="false"/>
                <w:color w:val="000000"/>
                <w:sz w:val="18"/>
                <w:szCs w:val="18"/>
              </w:rPr>
              <w:t xml:space="preserve">High value-at-risk per event</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Business Email Compromise</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74%</w:t>
            </w:r>
          </w:p>
        </w:tc>
        <w:tc>
          <w:tcPr>
            <w:tcW w:type="dxa" w:w="4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color w:val="000000"/>
                <w:sz w:val="18"/>
                <w:szCs w:val="18"/>
              </w:rPr>
              <w:t xml:space="preserve">Primary cross-rail attack vector</w:t>
            </w:r>
          </w:p>
        </w:tc>
      </w:tr>
    </w:tbl>
    <w:p>
      <w:pPr>
        <w:spacing w:after="120" w:before="100"/>
      </w:pPr>
      <w:r>
        <w:rPr>
          <w:b/>
          <w:bCs/>
          <w:sz w:val="18"/>
          <w:szCs w:val="18"/>
        </w:rPr>
        <w:t xml:space="preserve">Modeling caution: </w:t>
      </w:r>
      <w:r>
        <w:rPr>
          <w:color w:val="595959"/>
          <w:sz w:val="18"/>
          <w:szCs w:val="18"/>
        </w:rPr>
        <w:t xml:space="preserve">instant payments are irrevocable (credit-push). They reduce some legacy fraud types — check forgery, altered checks — but introduce authorized-push-payment (APP) scam risk, where controls shift to pre-send verification. The model should account for both directions, not assume instant payments are uniformly safer.</w:t>
      </w:r>
    </w:p>
    <w:p>
      <w:pPr>
        <w:pStyle w:val="Heading1"/>
      </w:pPr>
      <w:r>
        <w:t xml:space="preserve">5. International Substitution Evidence</w:t>
      </w:r>
    </w:p>
    <w:p>
      <w:pPr>
        <w:spacing w:after="140" w:line="276"/>
      </w:pPr>
      <w:r>
        <w:t xml:space="preserve">Markets that deployed instant payments earlier show how fast and how far legacy rails get displaced. These analogs ground the migration-rate assumption — the share of legacy volume that realistically moves to instant rails, and over what time horizon.</w:t>
      </w:r>
    </w:p>
    <w:p>
      <w:pPr>
        <w:pStyle w:val="ListParagraph"/>
        <w:numPr>
          <w:ilvl w:val="0"/>
          <w:numId w:val="2"/>
        </w:numPr>
        <w:spacing w:after="80" w:line="268"/>
      </w:pPr>
      <w:r>
        <w:rPr>
          <w:b/>
          <w:bCs/>
        </w:rPr>
        <w:t xml:space="preserve">Brazil — Pix (upper-bound, fast adoption): </w:t>
      </w:r>
      <w:r>
        <w:t xml:space="preserve">63.4 billion transactions in 2024, up from 9.4 billion in 2021. Reaches ~91% of adults. Checks fell to a residual under 10 million per month. Pix surpassed the combined volume of all legacy transfer types within months of its 2020 launch — a government-backed, near-universal rollout.</w:t>
      </w:r>
    </w:p>
    <w:p>
      <w:pPr>
        <w:pStyle w:val="ListParagraph"/>
        <w:numPr>
          <w:ilvl w:val="0"/>
          <w:numId w:val="2"/>
        </w:numPr>
        <w:spacing w:after="80" w:line="268"/>
      </w:pPr>
      <w:r>
        <w:rPr>
          <w:b/>
          <w:bCs/>
        </w:rPr>
        <w:t xml:space="preserve">UK — Faster Payments (mature, voluntary): </w:t>
      </w:r>
      <w:r>
        <w:t xml:space="preserve">5.09 billion transactions worth £4.2 trillion in 2024, with steady growth since 2008. A slower, market-driven path in which instant payments gradually became the default for low-value transfers.</w:t>
      </w:r>
    </w:p>
    <w:p>
      <w:pPr>
        <w:spacing w:after="140" w:line="276"/>
      </w:pPr>
      <w:r>
        <w:rPr>
          <w:b/>
          <w:bCs/>
        </w:rPr>
        <w:t xml:space="preserve">How to use these analogs. </w:t>
      </w:r>
      <w:r>
        <w:t xml:space="preserve">Pix sets the optimistic ceiling and UK FPS the conservative floor for adoption speed. U.S. CFI migration likely falls between the two; using both to bound the substitution-rate assumption keeps the ROI model honest and defensible.</w:t>
      </w:r>
    </w:p>
    <w:p>
      <w:pPr>
        <w:pStyle w:val="Heading1"/>
      </w:pPr>
      <w:r>
        <w:t xml:space="preserve">6. Data-Quality Assessment &amp; Known Gaps</w:t>
      </w:r>
    </w:p>
    <w:p>
      <w:pPr>
        <w:spacing w:after="140" w:line="276"/>
      </w:pPr>
      <w:r>
        <w:t xml:space="preserve">Defensibility depends on being explicit about confidence. Each figure in this synthesis is rated:</w:t>
      </w:r>
    </w:p>
    <w:p>
      <w:pPr>
        <w:pStyle w:val="ListParagraph"/>
        <w:numPr>
          <w:ilvl w:val="0"/>
          <w:numId w:val="2"/>
        </w:numPr>
        <w:spacing w:after="80" w:line="268"/>
      </w:pPr>
      <w:r>
        <w:rPr>
          <w:b/>
          <w:bCs/>
        </w:rPr>
        <w:t xml:space="preserve">High — </w:t>
      </w:r>
      <w:r>
        <w:t xml:space="preserve">directly reported by the primary operator or regulator (Nacha, Federal Reserve, The Clearing House, Pay.UK, central banks). Lowest interpretation risk.</w:t>
      </w:r>
    </w:p>
    <w:p>
      <w:pPr>
        <w:pStyle w:val="ListParagraph"/>
        <w:numPr>
          <w:ilvl w:val="0"/>
          <w:numId w:val="2"/>
        </w:numPr>
        <w:spacing w:after="80" w:line="268"/>
      </w:pPr>
      <w:r>
        <w:rPr>
          <w:b/>
          <w:bCs/>
        </w:rPr>
        <w:t xml:space="preserve">Medium — </w:t>
      </w:r>
      <w:r>
        <w:t xml:space="preserve">from a reputable secondary source, a survey, or light derivation (e.g., value ÷ volume). Suitable for modeling with a noted assumption.</w:t>
      </w:r>
    </w:p>
    <w:p>
      <w:pPr>
        <w:pStyle w:val="ListParagraph"/>
        <w:numPr>
          <w:ilvl w:val="0"/>
          <w:numId w:val="2"/>
        </w:numPr>
        <w:spacing w:after="80" w:line="268"/>
      </w:pPr>
      <w:r>
        <w:rPr>
          <w:b/>
          <w:bCs/>
        </w:rPr>
        <w:t xml:space="preserve">Indicative — </w:t>
      </w:r>
      <w:r>
        <w:t xml:space="preserve">a synthesized range or directional estimate where consistent public data does not exist. Treat as a planning assumption and a calibration target.</w:t>
      </w:r>
    </w:p>
    <w:p>
      <w:pPr>
        <w:pStyle w:val="Heading2"/>
      </w:pPr>
      <w:r>
        <w:t xml:space="preserve">Gaps to close with Payfinia production data</w:t>
      </w:r>
    </w:p>
    <w:p>
      <w:pPr>
        <w:pStyle w:val="ListParagraph"/>
        <w:numPr>
          <w:ilvl w:val="0"/>
          <w:numId w:val="2"/>
        </w:numPr>
        <w:spacing w:after="80" w:line="268"/>
      </w:pPr>
      <w:r>
        <w:t xml:space="preserve">Per-transaction fraud loss rates by rail — public data gives share of organizations affected, not dollars lost per transaction.</w:t>
      </w:r>
    </w:p>
    <w:p>
      <w:pPr>
        <w:pStyle w:val="ListParagraph"/>
        <w:numPr>
          <w:ilvl w:val="0"/>
          <w:numId w:val="2"/>
        </w:numPr>
        <w:spacing w:after="80" w:line="268"/>
      </w:pPr>
      <w:r>
        <w:t xml:space="preserve">CFI-specific operational cost per item — varies materially by core processor and institution size.</w:t>
      </w:r>
    </w:p>
    <w:p>
      <w:pPr>
        <w:pStyle w:val="ListParagraph"/>
        <w:numPr>
          <w:ilvl w:val="0"/>
          <w:numId w:val="2"/>
        </w:numPr>
        <w:spacing w:after="80" w:line="268"/>
      </w:pPr>
      <w:r>
        <w:t xml:space="preserve">Exact Fedwire annual transaction count and total check value — pull from source data tables before the final model.</w:t>
      </w:r>
    </w:p>
    <w:p>
      <w:pPr>
        <w:pStyle w:val="ListParagraph"/>
        <w:numPr>
          <w:ilvl w:val="0"/>
          <w:numId w:val="2"/>
        </w:numPr>
        <w:spacing w:after="80" w:line="268"/>
      </w:pPr>
      <w:r>
        <w:t xml:space="preserve">Real substitution rates for U.S. CFIs — international analogs bound the assumption; production data will confirm it.</w:t>
      </w:r>
    </w:p>
    <w:p>
      <w:pPr>
        <w:pStyle w:val="Heading1"/>
      </w:pPr>
      <w:r>
        <w:t xml:space="preserve">7. Sources</w:t>
      </w:r>
    </w:p>
    <w:p>
      <w:pPr>
        <w:spacing w:after="60"/>
      </w:pPr>
      <w:r>
        <w:rPr>
          <w:sz w:val="18"/>
          <w:szCs w:val="18"/>
        </w:rPr>
        <w:t xml:space="preserve">1. Nacha — ACH Network Volume &amp; Value Statistics (2025)  </w:t>
      </w:r>
      <w:hyperlink w:history="1" r:id="rIdjjulpdi2jbsqeyc8l36cx">
        <w:r>
          <w:rPr>
            <w:rStyle w:val="Hyperlink"/>
            <w:sz w:val="16"/>
            <w:szCs w:val="16"/>
          </w:rPr>
          <w:t xml:space="preserve">https://www.nacha.org/content/ach-network-volume-and-value-statistics</w:t>
        </w:r>
      </w:hyperlink>
    </w:p>
    <w:p>
      <w:pPr>
        <w:spacing w:after="60"/>
      </w:pPr>
      <w:r>
        <w:rPr>
          <w:sz w:val="18"/>
          <w:szCs w:val="18"/>
        </w:rPr>
        <w:t xml:space="preserve">2. Federal Reserve — FedNow Service Volume &amp; Value Statistics  </w:t>
      </w:r>
      <w:hyperlink w:history="1" r:id="rId2_gnxabl8tloktox16gov">
        <w:r>
          <w:rPr>
            <w:rStyle w:val="Hyperlink"/>
            <w:sz w:val="16"/>
            <w:szCs w:val="16"/>
          </w:rPr>
          <w:t xml:space="preserve">https://www.frbservices.org/resources/financial-services/fednow/volume-value-stats</w:t>
        </w:r>
      </w:hyperlink>
    </w:p>
    <w:p>
      <w:pPr>
        <w:spacing w:after="60"/>
      </w:pPr>
      <w:r>
        <w:rPr>
          <w:sz w:val="18"/>
          <w:szCs w:val="18"/>
        </w:rPr>
        <w:t xml:space="preserve">3. The Clearing House — RTP network statistics  </w:t>
      </w:r>
      <w:hyperlink w:history="1" r:id="rIdjffnuptvxavtoelgodnca">
        <w:r>
          <w:rPr>
            <w:rStyle w:val="Hyperlink"/>
            <w:sz w:val="16"/>
            <w:szCs w:val="16"/>
          </w:rPr>
          <w:t xml:space="preserve">https://www.theclearinghouse.org/payment-systems</w:t>
        </w:r>
      </w:hyperlink>
    </w:p>
    <w:p>
      <w:pPr>
        <w:spacing w:after="60"/>
      </w:pPr>
      <w:r>
        <w:rPr>
          <w:sz w:val="18"/>
          <w:szCs w:val="18"/>
        </w:rPr>
        <w:t xml:space="preserve">4. Federal Reserve — Fedwire Funds Service Annual Statistics  </w:t>
      </w:r>
      <w:hyperlink w:history="1" r:id="rIdqliee8sejwdcs-yxcsr5f">
        <w:r>
          <w:rPr>
            <w:rStyle w:val="Hyperlink"/>
            <w:sz w:val="16"/>
            <w:szCs w:val="16"/>
          </w:rPr>
          <w:t xml:space="preserve">https://www.frbservices.org/resources/financial-services/wires/volume-value-stats/annual-stats.html</w:t>
        </w:r>
      </w:hyperlink>
    </w:p>
    <w:p>
      <w:pPr>
        <w:spacing w:after="60"/>
      </w:pPr>
      <w:r>
        <w:rPr>
          <w:sz w:val="18"/>
          <w:szCs w:val="18"/>
        </w:rPr>
        <w:t xml:space="preserve">5. Federal Reserve — Payments Study (FRPS)  </w:t>
      </w:r>
      <w:hyperlink w:history="1" r:id="rIdghy81nfkalq5snzasw9gv">
        <w:r>
          <w:rPr>
            <w:rStyle w:val="Hyperlink"/>
            <w:sz w:val="16"/>
            <w:szCs w:val="16"/>
          </w:rPr>
          <w:t xml:space="preserve">https://www.federalreserve.gov/paymentsystems/fr-payments-study.htm</w:t>
        </w:r>
      </w:hyperlink>
    </w:p>
    <w:p>
      <w:pPr>
        <w:spacing w:after="60"/>
      </w:pPr>
      <w:r>
        <w:rPr>
          <w:sz w:val="18"/>
          <w:szCs w:val="18"/>
        </w:rPr>
        <w:t xml:space="preserve">6. AFP — 2025 Payments Fraud &amp; Control Survey  </w:t>
      </w:r>
      <w:hyperlink w:history="1" r:id="rId_y5a3dxjc5cfvbfeensjr">
        <w:r>
          <w:rPr>
            <w:rStyle w:val="Hyperlink"/>
            <w:sz w:val="16"/>
            <w:szCs w:val="16"/>
          </w:rPr>
          <w:t xml:space="preserve">https://www.financialprofessionals.org/training-resources/resources/survey-research-economic-data/details/payments-fraud</w:t>
        </w:r>
      </w:hyperlink>
    </w:p>
    <w:p>
      <w:pPr>
        <w:spacing w:after="60"/>
      </w:pPr>
      <w:r>
        <w:rPr>
          <w:sz w:val="18"/>
          <w:szCs w:val="18"/>
        </w:rPr>
        <w:t xml:space="preserve">7. FFIEC — IT Examination Handbook, Retail Payment Systems  </w:t>
      </w:r>
      <w:hyperlink w:history="1" r:id="rIdq08ub7f90m7yber6q65pj">
        <w:r>
          <w:rPr>
            <w:rStyle w:val="Hyperlink"/>
            <w:sz w:val="16"/>
            <w:szCs w:val="16"/>
          </w:rPr>
          <w:t xml:space="preserve">https://ithandbook.ffiec.gov/it-booklets/retail-payment-systems/</w:t>
        </w:r>
      </w:hyperlink>
    </w:p>
    <w:p>
      <w:pPr>
        <w:spacing w:after="60"/>
      </w:pPr>
      <w:r>
        <w:rPr>
          <w:sz w:val="18"/>
          <w:szCs w:val="18"/>
        </w:rPr>
        <w:t xml:space="preserve">8. Banco Central do Brasil / Pix statistics (2024)  </w:t>
      </w:r>
      <w:hyperlink w:history="1" r:id="rIdhcxxgvbpv-6hb4vbj1vcc">
        <w:r>
          <w:rPr>
            <w:rStyle w:val="Hyperlink"/>
            <w:sz w:val="16"/>
            <w:szCs w:val="16"/>
          </w:rPr>
          <w:t xml:space="preserve">https://paymentscmi.com/insights/pix-in-brazil-latest-statistics-central-bank/</w:t>
        </w:r>
      </w:hyperlink>
    </w:p>
    <w:p>
      <w:pPr>
        <w:spacing w:after="60"/>
      </w:pPr>
      <w:r>
        <w:rPr>
          <w:sz w:val="18"/>
          <w:szCs w:val="18"/>
        </w:rPr>
        <w:t xml:space="preserve">9. Pay.UK — Annual Summary of Payment Statistics 2024  </w:t>
      </w:r>
      <w:hyperlink w:history="1" r:id="rId93cwip6n5l6gbdhzgzrbv">
        <w:r>
          <w:rPr>
            <w:rStyle w:val="Hyperlink"/>
            <w:sz w:val="16"/>
            <w:szCs w:val="16"/>
          </w:rPr>
          <w:t xml:space="preserve">https://www.wearepay.uk/wp-content/uploads/2025/03/Annual-Statistics-2024-v1.2.pdf</w:t>
        </w:r>
      </w:hyperlink>
    </w:p>
    <w:p>
      <w:pPr>
        <w:spacing w:after="60"/>
      </w:pPr>
      <w:r>
        <w:rPr>
          <w:sz w:val="18"/>
          <w:szCs w:val="18"/>
        </w:rPr>
        <w:t xml:space="preserve">10. BIS Papers No 152 — Faster digital payments  </w:t>
      </w:r>
      <w:hyperlink w:history="1" r:id="rId57qdp0fkpfnyjqbma0_mz">
        <w:r>
          <w:rPr>
            <w:rStyle w:val="Hyperlink"/>
            <w:sz w:val="16"/>
            <w:szCs w:val="16"/>
          </w:rPr>
          <w:t xml:space="preserve">https://www.bis.org/publ/bppdf/bispap152_c.pdf</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Payfinia — Deliverable 1: Public Data Synthesis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16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julpdi2jbsqeyc8l36cx" Type="http://schemas.openxmlformats.org/officeDocument/2006/relationships/hyperlink" Target="https://www.nacha.org/content/ach-network-volume-and-value-statistics" TargetMode="External"/><Relationship Id="rId2_gnxabl8tloktox16gov" Type="http://schemas.openxmlformats.org/officeDocument/2006/relationships/hyperlink" Target="https://www.frbservices.org/resources/financial-services/fednow/volume-value-stats" TargetMode="External"/><Relationship Id="rIdjffnuptvxavtoelgodnca" Type="http://schemas.openxmlformats.org/officeDocument/2006/relationships/hyperlink" Target="https://www.theclearinghouse.org/payment-systems" TargetMode="External"/><Relationship Id="rIdqliee8sejwdcs-yxcsr5f" Type="http://schemas.openxmlformats.org/officeDocument/2006/relationships/hyperlink" Target="https://www.frbservices.org/resources/financial-services/wires/volume-value-stats/annual-stats.html" TargetMode="External"/><Relationship Id="rIdghy81nfkalq5snzasw9gv" Type="http://schemas.openxmlformats.org/officeDocument/2006/relationships/hyperlink" Target="https://www.federalreserve.gov/paymentsystems/fr-payments-study.htm" TargetMode="External"/><Relationship Id="rId_y5a3dxjc5cfvbfeensjr" Type="http://schemas.openxmlformats.org/officeDocument/2006/relationships/hyperlink" Target="https://www.financialprofessionals.org/training-resources/resources/survey-research-economic-data/details/payments-fraud" TargetMode="External"/><Relationship Id="rIdq08ub7f90m7yber6q65pj" Type="http://schemas.openxmlformats.org/officeDocument/2006/relationships/hyperlink" Target="https://ithandbook.ffiec.gov/it-booklets/retail-payment-systems/" TargetMode="External"/><Relationship Id="rIdhcxxgvbpv-6hb4vbj1vcc" Type="http://schemas.openxmlformats.org/officeDocument/2006/relationships/hyperlink" Target="https://paymentscmi.com/insights/pix-in-brazil-latest-statistics-central-bank/" TargetMode="External"/><Relationship Id="rId93cwip6n5l6gbdhzgzrbv" Type="http://schemas.openxmlformats.org/officeDocument/2006/relationships/hyperlink" Target="https://www.wearepay.uk/wp-content/uploads/2025/03/Annual-Statistics-2024-v1.2.pdf" TargetMode="External"/><Relationship Id="rId57qdp0fkpfnyjqbma0_mz" Type="http://schemas.openxmlformats.org/officeDocument/2006/relationships/hyperlink" Target="https://www.bis.org/publ/bppdf/bispap152_c.pdf"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2026-06-12T03:41:02.610Z</dcterms:created>
  <dcterms:modified xsi:type="dcterms:W3CDTF">2026-06-12T03:41:02.610Z</dcterms:modified>
</cp:coreProperties>
</file>

<file path=docProps/custom.xml><?xml version="1.0" encoding="utf-8"?>
<Properties xmlns="http://schemas.openxmlformats.org/officeDocument/2006/custom-properties" xmlns:vt="http://schemas.openxmlformats.org/officeDocument/2006/docPropsVTypes"/>
</file>