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CC742" w14:textId="77777777" w:rsidR="00F53620" w:rsidRPr="00312C38" w:rsidRDefault="00F53620" w:rsidP="00F53620">
      <w:pPr>
        <w:spacing w:line="276" w:lineRule="auto"/>
        <w:jc w:val="center"/>
        <w:rPr>
          <w:b/>
          <w:sz w:val="52"/>
          <w:szCs w:val="52"/>
        </w:rPr>
      </w:pPr>
      <w:r w:rsidRPr="00312C38">
        <w:rPr>
          <w:b/>
          <w:sz w:val="52"/>
          <w:szCs w:val="52"/>
        </w:rPr>
        <w:t xml:space="preserve">PROJECT </w:t>
      </w:r>
      <w:r>
        <w:rPr>
          <w:b/>
          <w:sz w:val="52"/>
          <w:szCs w:val="52"/>
        </w:rPr>
        <w:t>B</w:t>
      </w:r>
    </w:p>
    <w:p w14:paraId="6944FFD2" w14:textId="77777777" w:rsidR="00F53620" w:rsidRPr="00312C38" w:rsidRDefault="00F53620" w:rsidP="00F53620">
      <w:pPr>
        <w:spacing w:line="276" w:lineRule="auto"/>
        <w:rPr>
          <w:b/>
          <w:sz w:val="52"/>
          <w:szCs w:val="52"/>
        </w:rPr>
      </w:pPr>
    </w:p>
    <w:p w14:paraId="17171B1F" w14:textId="77777777" w:rsidR="00F53620" w:rsidRPr="00312C38" w:rsidRDefault="00F53620" w:rsidP="00F53620">
      <w:pPr>
        <w:spacing w:line="276" w:lineRule="auto"/>
        <w:jc w:val="center"/>
        <w:rPr>
          <w:b/>
          <w:sz w:val="52"/>
          <w:szCs w:val="52"/>
        </w:rPr>
      </w:pPr>
      <w:r w:rsidRPr="00312C38">
        <w:rPr>
          <w:b/>
          <w:sz w:val="52"/>
          <w:szCs w:val="52"/>
        </w:rPr>
        <w:t xml:space="preserve">QM222 </w:t>
      </w:r>
      <w:r w:rsidRPr="00312C38">
        <w:rPr>
          <w:b/>
          <w:sz w:val="52"/>
          <w:szCs w:val="52"/>
          <w:u w:val="single"/>
        </w:rPr>
        <w:t>SECTION B1</w:t>
      </w:r>
    </w:p>
    <w:p w14:paraId="6C782317" w14:textId="77777777" w:rsidR="00F53620" w:rsidRPr="00312C38" w:rsidRDefault="00F53620" w:rsidP="00F53620">
      <w:pPr>
        <w:spacing w:line="276" w:lineRule="auto"/>
        <w:jc w:val="center"/>
        <w:rPr>
          <w:b/>
          <w:sz w:val="52"/>
          <w:szCs w:val="52"/>
        </w:rPr>
      </w:pPr>
    </w:p>
    <w:p w14:paraId="57E71759" w14:textId="77777777" w:rsidR="00F53620" w:rsidRPr="00BC3BD9" w:rsidRDefault="00F53620" w:rsidP="00F53620">
      <w:pPr>
        <w:spacing w:line="276" w:lineRule="auto"/>
        <w:jc w:val="center"/>
        <w:rPr>
          <w:b/>
          <w:sz w:val="72"/>
          <w:szCs w:val="72"/>
        </w:rPr>
      </w:pPr>
      <w:r>
        <w:rPr>
          <w:b/>
          <w:sz w:val="72"/>
          <w:szCs w:val="72"/>
        </w:rPr>
        <w:t>Analyzing the Monetary Effect of Going to College on Annual Earnings</w:t>
      </w:r>
    </w:p>
    <w:p w14:paraId="5777A40C" w14:textId="77777777" w:rsidR="00F53620" w:rsidRDefault="00F53620" w:rsidP="00F53620">
      <w:pPr>
        <w:spacing w:line="276" w:lineRule="auto"/>
        <w:jc w:val="center"/>
        <w:rPr>
          <w:b/>
          <w:sz w:val="52"/>
          <w:szCs w:val="52"/>
        </w:rPr>
      </w:pPr>
    </w:p>
    <w:p w14:paraId="23DD3DB9" w14:textId="77777777" w:rsidR="00F53620" w:rsidRDefault="00F53620" w:rsidP="00F53620">
      <w:pPr>
        <w:spacing w:line="276" w:lineRule="auto"/>
        <w:rPr>
          <w:b/>
          <w:sz w:val="52"/>
          <w:szCs w:val="52"/>
        </w:rPr>
      </w:pPr>
    </w:p>
    <w:p w14:paraId="7995A21E" w14:textId="77777777" w:rsidR="00F53620" w:rsidRPr="00312C38" w:rsidRDefault="00F53620" w:rsidP="00F53620">
      <w:pPr>
        <w:spacing w:line="276" w:lineRule="auto"/>
        <w:rPr>
          <w:b/>
          <w:sz w:val="52"/>
          <w:szCs w:val="52"/>
        </w:rPr>
      </w:pPr>
    </w:p>
    <w:p w14:paraId="7C7956C6" w14:textId="77777777" w:rsidR="00F53620" w:rsidRPr="00312C38" w:rsidRDefault="00F53620" w:rsidP="00F53620">
      <w:pPr>
        <w:spacing w:line="276" w:lineRule="auto"/>
        <w:jc w:val="center"/>
        <w:rPr>
          <w:b/>
          <w:sz w:val="52"/>
          <w:szCs w:val="52"/>
        </w:rPr>
      </w:pPr>
      <w:r w:rsidRPr="00312C38">
        <w:rPr>
          <w:b/>
          <w:sz w:val="52"/>
          <w:szCs w:val="52"/>
        </w:rPr>
        <w:t>Prof Steinbuch 10:10 AM CLASS</w:t>
      </w:r>
    </w:p>
    <w:p w14:paraId="5602F020" w14:textId="77777777" w:rsidR="00F53620" w:rsidRPr="00312C38" w:rsidRDefault="00F53620" w:rsidP="00F53620">
      <w:pPr>
        <w:spacing w:line="276" w:lineRule="auto"/>
        <w:jc w:val="center"/>
      </w:pPr>
      <w:r w:rsidRPr="00312C38">
        <w:rPr>
          <w:b/>
          <w:sz w:val="48"/>
          <w:szCs w:val="48"/>
        </w:rPr>
        <w:t>TA</w:t>
      </w:r>
      <w:r w:rsidRPr="00312C38">
        <w:rPr>
          <w:b/>
          <w:sz w:val="52"/>
          <w:szCs w:val="52"/>
        </w:rPr>
        <w:t xml:space="preserve">: </w:t>
      </w:r>
      <w:r w:rsidRPr="00312C38">
        <w:rPr>
          <w:b/>
          <w:sz w:val="44"/>
          <w:szCs w:val="44"/>
        </w:rPr>
        <w:t>Jeffrey Sagurton</w:t>
      </w:r>
      <w:r w:rsidRPr="00312C38">
        <w:t xml:space="preserve">  </w:t>
      </w:r>
    </w:p>
    <w:p w14:paraId="49C2E1C1" w14:textId="77777777" w:rsidR="00F53620" w:rsidRPr="00312C38" w:rsidRDefault="00F53620" w:rsidP="00F53620">
      <w:pPr>
        <w:spacing w:line="276" w:lineRule="auto"/>
        <w:jc w:val="center"/>
      </w:pPr>
    </w:p>
    <w:p w14:paraId="545B72B1" w14:textId="77777777" w:rsidR="00F53620" w:rsidRPr="00312C38" w:rsidRDefault="00F53620" w:rsidP="00F53620">
      <w:pPr>
        <w:spacing w:line="276" w:lineRule="auto"/>
        <w:jc w:val="center"/>
      </w:pPr>
    </w:p>
    <w:p w14:paraId="534BD860" w14:textId="77777777" w:rsidR="00F53620" w:rsidRPr="00312C38" w:rsidRDefault="00F53620" w:rsidP="00F53620">
      <w:pPr>
        <w:spacing w:line="276" w:lineRule="auto"/>
        <w:jc w:val="center"/>
      </w:pPr>
    </w:p>
    <w:p w14:paraId="1FB8C02E" w14:textId="77777777" w:rsidR="00F53620" w:rsidRPr="00312C38" w:rsidRDefault="00F53620" w:rsidP="00F53620">
      <w:pPr>
        <w:spacing w:line="276" w:lineRule="auto"/>
        <w:jc w:val="center"/>
        <w:rPr>
          <w:b/>
          <w:bCs/>
          <w:sz w:val="32"/>
          <w:szCs w:val="32"/>
        </w:rPr>
      </w:pPr>
      <w:r>
        <w:rPr>
          <w:b/>
          <w:bCs/>
          <w:sz w:val="32"/>
          <w:szCs w:val="32"/>
        </w:rPr>
        <w:t>November 20</w:t>
      </w:r>
      <w:r w:rsidRPr="00312C38">
        <w:rPr>
          <w:b/>
          <w:bCs/>
          <w:sz w:val="32"/>
          <w:szCs w:val="32"/>
        </w:rPr>
        <w:t>, 2019</w:t>
      </w:r>
    </w:p>
    <w:p w14:paraId="0DB16E5E" w14:textId="77777777" w:rsidR="00F53620" w:rsidRPr="00312C38" w:rsidRDefault="00F53620" w:rsidP="00F53620">
      <w:pPr>
        <w:spacing w:line="276" w:lineRule="auto"/>
        <w:jc w:val="center"/>
      </w:pPr>
    </w:p>
    <w:p w14:paraId="6AE3D4D4" w14:textId="77777777" w:rsidR="00F53620" w:rsidRDefault="00F53620" w:rsidP="00F53620">
      <w:pPr>
        <w:spacing w:line="276" w:lineRule="auto"/>
        <w:rPr>
          <w:sz w:val="32"/>
          <w:szCs w:val="32"/>
        </w:rPr>
      </w:pPr>
    </w:p>
    <w:p w14:paraId="4168AA33" w14:textId="77777777" w:rsidR="00F53620" w:rsidRDefault="00F53620" w:rsidP="00F53620">
      <w:pPr>
        <w:spacing w:line="276" w:lineRule="auto"/>
        <w:rPr>
          <w:sz w:val="32"/>
          <w:szCs w:val="32"/>
        </w:rPr>
      </w:pPr>
    </w:p>
    <w:p w14:paraId="675630A1" w14:textId="77777777" w:rsidR="00F53620" w:rsidRDefault="00F53620" w:rsidP="00F53620">
      <w:pPr>
        <w:spacing w:line="276" w:lineRule="auto"/>
        <w:rPr>
          <w:sz w:val="32"/>
          <w:szCs w:val="32"/>
        </w:rPr>
      </w:pPr>
    </w:p>
    <w:p w14:paraId="709482FA" w14:textId="77777777" w:rsidR="00F53620" w:rsidRPr="00312C38" w:rsidRDefault="00F53620" w:rsidP="00F53620">
      <w:pPr>
        <w:spacing w:line="276" w:lineRule="auto"/>
        <w:rPr>
          <w:sz w:val="32"/>
          <w:szCs w:val="32"/>
        </w:rPr>
      </w:pPr>
      <w:r w:rsidRPr="00312C38">
        <w:rPr>
          <w:sz w:val="32"/>
          <w:szCs w:val="32"/>
        </w:rPr>
        <w:t xml:space="preserve">Rishi Bhattacharya </w:t>
      </w:r>
      <w:hyperlink r:id="rId7" w:history="1">
        <w:r w:rsidRPr="00312C38">
          <w:rPr>
            <w:rStyle w:val="Hyperlink"/>
            <w:sz w:val="32"/>
            <w:szCs w:val="32"/>
          </w:rPr>
          <w:t>rishib@bu.edu</w:t>
        </w:r>
      </w:hyperlink>
    </w:p>
    <w:p w14:paraId="0C719FA5" w14:textId="77777777" w:rsidR="00F53620" w:rsidRDefault="00F53620" w:rsidP="00F53620">
      <w:pPr>
        <w:spacing w:line="276" w:lineRule="auto"/>
        <w:rPr>
          <w:rStyle w:val="Hyperlink"/>
          <w:sz w:val="32"/>
          <w:szCs w:val="32"/>
          <w:u w:val="none"/>
        </w:rPr>
      </w:pPr>
      <w:r w:rsidRPr="00312C38">
        <w:rPr>
          <w:sz w:val="32"/>
          <w:szCs w:val="32"/>
        </w:rPr>
        <w:t xml:space="preserve">Darrus Lee </w:t>
      </w:r>
      <w:hyperlink r:id="rId8" w:history="1">
        <w:r w:rsidRPr="00312C38">
          <w:rPr>
            <w:rStyle w:val="Hyperlink"/>
            <w:sz w:val="32"/>
            <w:szCs w:val="32"/>
          </w:rPr>
          <w:t>dwlee@bu.edu</w:t>
        </w:r>
      </w:hyperlink>
    </w:p>
    <w:p w14:paraId="7E0622ED" w14:textId="77777777" w:rsidR="00F53620" w:rsidRDefault="00F53620" w:rsidP="00F53620">
      <w:pPr>
        <w:spacing w:line="276" w:lineRule="auto"/>
        <w:rPr>
          <w:i/>
          <w:iCs/>
          <w:color w:val="000000"/>
        </w:rPr>
        <w:sectPr w:rsidR="00F53620" w:rsidSect="00FC0EEB">
          <w:footerReference w:type="even" r:id="rId9"/>
          <w:footerReference w:type="default" r:id="rId10"/>
          <w:pgSz w:w="12240" w:h="15840"/>
          <w:pgMar w:top="1440" w:right="1440" w:bottom="1440" w:left="1440" w:header="720" w:footer="720" w:gutter="0"/>
          <w:cols w:space="720"/>
          <w:titlePg/>
          <w:docGrid w:linePitch="360"/>
        </w:sectPr>
      </w:pPr>
    </w:p>
    <w:p w14:paraId="34A1DC69" w14:textId="5EB2FFBB" w:rsidR="00BF1519" w:rsidRPr="00BF1519" w:rsidRDefault="00BF1519" w:rsidP="00BF1519">
      <w:pPr>
        <w:spacing w:line="276" w:lineRule="auto"/>
        <w:rPr>
          <w:color w:val="000000"/>
        </w:rPr>
      </w:pPr>
      <w:bookmarkStart w:id="0" w:name="_GoBack"/>
      <w:bookmarkEnd w:id="0"/>
      <w:r w:rsidRPr="0060293A">
        <w:rPr>
          <w:i/>
          <w:iCs/>
          <w:color w:val="000000"/>
        </w:rPr>
        <w:lastRenderedPageBreak/>
        <w:t>Questio</w:t>
      </w:r>
      <w:r w:rsidR="0060293A" w:rsidRPr="0060293A">
        <w:rPr>
          <w:i/>
          <w:iCs/>
          <w:color w:val="000000"/>
        </w:rPr>
        <w:t>n:</w:t>
      </w:r>
      <w:r w:rsidR="0060293A">
        <w:rPr>
          <w:color w:val="000000"/>
        </w:rPr>
        <w:t xml:space="preserve"> </w:t>
      </w:r>
      <w:r w:rsidRPr="0060293A">
        <w:rPr>
          <w:color w:val="000000"/>
        </w:rPr>
        <w:t>Is</w:t>
      </w:r>
      <w:r w:rsidRPr="00BF1519">
        <w:rPr>
          <w:color w:val="000000"/>
        </w:rPr>
        <w:t xml:space="preserve"> going to college a worthwhile investment? </w:t>
      </w:r>
    </w:p>
    <w:p w14:paraId="40918009" w14:textId="77777777" w:rsidR="00BF1519" w:rsidRPr="00BF1519" w:rsidRDefault="00BF1519" w:rsidP="00BF1519">
      <w:pPr>
        <w:spacing w:line="276" w:lineRule="auto"/>
        <w:rPr>
          <w:color w:val="000000"/>
        </w:rPr>
      </w:pPr>
    </w:p>
    <w:p w14:paraId="28E9B595" w14:textId="77777777" w:rsidR="00BF1519" w:rsidRPr="00BF1519" w:rsidRDefault="00BF1519" w:rsidP="00BF1519">
      <w:pPr>
        <w:spacing w:line="276" w:lineRule="auto"/>
        <w:rPr>
          <w:color w:val="000000"/>
        </w:rPr>
      </w:pPr>
      <w:r w:rsidRPr="00BF1519">
        <w:rPr>
          <w:b/>
          <w:bCs/>
          <w:color w:val="000000"/>
          <w:sz w:val="28"/>
          <w:szCs w:val="28"/>
          <w:u w:val="single"/>
        </w:rPr>
        <w:t>Introduction</w:t>
      </w:r>
    </w:p>
    <w:p w14:paraId="28E7E694" w14:textId="77777777" w:rsidR="00BF1519" w:rsidRPr="00BF1519" w:rsidRDefault="00BF1519" w:rsidP="00BF1519">
      <w:pPr>
        <w:spacing w:line="276" w:lineRule="auto"/>
        <w:rPr>
          <w:color w:val="000000"/>
        </w:rPr>
      </w:pPr>
    </w:p>
    <w:p w14:paraId="63858040" w14:textId="77777777" w:rsidR="00BF1519" w:rsidRPr="00BF1519" w:rsidRDefault="00BF1519" w:rsidP="00BF1519">
      <w:pPr>
        <w:spacing w:line="276" w:lineRule="auto"/>
        <w:rPr>
          <w:color w:val="000000"/>
        </w:rPr>
      </w:pPr>
      <w:r w:rsidRPr="00BF1519">
        <w:rPr>
          <w:color w:val="000000"/>
        </w:rPr>
        <w:t>With some in the public beginning to question the value gained from attaining higher education, this report was written with a clear objective in mind – to use past data to analyze whether such claims were substantiated or merely beliefs rippling throughout popular society. To answer the question of whether going to college is a worthwhile investment or not, we used data gathered from the National Longitudinal Survey of Youth, conducted by the U.S. Department of Labor’s Bureau of Labor Statistics. The survey randomly selected and tracked roughly 6,000 men and women born between the years 1957 and 1964 and captured detailed records of each participant’s life and upbringing. However, for the purposes of this analysis, we chose a little under 4,000 individual observations to work with. Our hope with this report is that the analyses contained within it help explore the earnings gap between college graduates and non-graduates, explaining the impact various variables have on people’s earnings and allowing readers to understand the isolated monetary effect going to college has on their future earnings. </w:t>
      </w:r>
    </w:p>
    <w:p w14:paraId="1395F1D7" w14:textId="77777777" w:rsidR="00BF1519" w:rsidRPr="00BF1519" w:rsidRDefault="00BF1519" w:rsidP="00BF1519">
      <w:pPr>
        <w:spacing w:line="276" w:lineRule="auto"/>
        <w:rPr>
          <w:color w:val="000000"/>
        </w:rPr>
      </w:pPr>
    </w:p>
    <w:p w14:paraId="7A6B8FBB" w14:textId="77777777" w:rsidR="00BF1519" w:rsidRPr="00BF1519" w:rsidRDefault="00BF1519" w:rsidP="00BF1519">
      <w:pPr>
        <w:spacing w:line="276" w:lineRule="auto"/>
        <w:rPr>
          <w:color w:val="000000"/>
        </w:rPr>
      </w:pPr>
      <w:r w:rsidRPr="00BF1519">
        <w:rPr>
          <w:b/>
          <w:bCs/>
          <w:color w:val="000000"/>
          <w:sz w:val="28"/>
          <w:szCs w:val="28"/>
          <w:u w:val="single"/>
        </w:rPr>
        <w:t>Descriptive Statistics on Earnings for College Graduates and Non-Graduates</w:t>
      </w:r>
    </w:p>
    <w:p w14:paraId="0B75F5D8" w14:textId="77777777" w:rsidR="00BF1519" w:rsidRPr="00BF1519" w:rsidRDefault="00BF1519" w:rsidP="00BF1519">
      <w:pPr>
        <w:spacing w:line="276" w:lineRule="auto"/>
        <w:rPr>
          <w:color w:val="000000"/>
        </w:rPr>
      </w:pPr>
    </w:p>
    <w:p w14:paraId="47650B27" w14:textId="77777777" w:rsidR="00BF1519" w:rsidRPr="00BF1519" w:rsidRDefault="00BF1519" w:rsidP="00BF1519">
      <w:pPr>
        <w:spacing w:line="276" w:lineRule="auto"/>
        <w:rPr>
          <w:color w:val="000000"/>
        </w:rPr>
      </w:pPr>
      <w:r w:rsidRPr="00BF1519">
        <w:rPr>
          <w:color w:val="000000"/>
        </w:rPr>
        <w:t xml:space="preserve">Before we begin analyzing the sources of the earnings gap between college graduates and non-graduates, it is helpful to understand what the earnings gap is without taking other variables into consideration. As shown in </w:t>
      </w:r>
      <w:r w:rsidRPr="00BF1519">
        <w:rPr>
          <w:b/>
          <w:bCs/>
          <w:color w:val="000000"/>
        </w:rPr>
        <w:t>Figure 1</w:t>
      </w:r>
      <w:r w:rsidRPr="00BF1519">
        <w:rPr>
          <w:color w:val="000000"/>
        </w:rPr>
        <w:t>, on average, non-college graduates earned $31,881 per year, while graduates earned $80,150 per year. This amounts to an on-average annual difference of $48,269 in earnings. However, discussion of the mean is not complete without further analyzing the accompanying median value: the annual earnings of an individual located at the 50th percentile. Taken together, the mean and the median show relative skewness, or the existence and influence of outliers on the dataset. For non-graduates, the mean and median ($25,000) are roughly close together, while for graduates, their difference is much larger. This indicates that outliers like those who made $312,324 a year may have affected the average annual earnings of graduates more, although both graduate and non-graduate datasets appear to have outliers within them. Just taking medians into consideration, there still exists a substantial $35,000 annual earnings gap between college graduates and non-graduates at the 50th-percentile level, appearing to show at a surface-level that graduates tend to earn more than non-graduates.</w:t>
      </w:r>
    </w:p>
    <w:p w14:paraId="773CCEDC" w14:textId="77777777" w:rsidR="005B5522" w:rsidRDefault="005B5522" w:rsidP="00BF1519">
      <w:pPr>
        <w:spacing w:line="276" w:lineRule="auto"/>
        <w:rPr>
          <w:color w:val="000000"/>
        </w:rPr>
      </w:pPr>
    </w:p>
    <w:p w14:paraId="027C928C" w14:textId="77777777" w:rsidR="005B5522" w:rsidRDefault="005B5522">
      <w:pPr>
        <w:rPr>
          <w:color w:val="000000"/>
        </w:rPr>
      </w:pPr>
      <w:r>
        <w:rPr>
          <w:color w:val="000000"/>
        </w:rPr>
        <w:br w:type="page"/>
      </w:r>
    </w:p>
    <w:p w14:paraId="13201241" w14:textId="72D8CEA5" w:rsidR="00BF1519" w:rsidRPr="00BF1519" w:rsidRDefault="00BF1519" w:rsidP="00BF1519">
      <w:pPr>
        <w:spacing w:line="276" w:lineRule="auto"/>
        <w:rPr>
          <w:color w:val="000000"/>
        </w:rPr>
      </w:pPr>
      <w:r w:rsidRPr="00BF1519">
        <w:rPr>
          <w:b/>
          <w:bCs/>
          <w:color w:val="000000"/>
        </w:rPr>
        <w:lastRenderedPageBreak/>
        <w:t>Figure 1</w:t>
      </w:r>
    </w:p>
    <w:p w14:paraId="4675AC9E" w14:textId="3EE1807B" w:rsidR="00BF1519" w:rsidRDefault="00BF1519" w:rsidP="00BF1519">
      <w:pPr>
        <w:spacing w:line="276" w:lineRule="auto"/>
        <w:rPr>
          <w:rFonts w:ascii="-webkit-standard" w:hAnsi="-webkit-standard"/>
          <w:color w:val="000000"/>
        </w:rPr>
      </w:pPr>
    </w:p>
    <w:tbl>
      <w:tblPr>
        <w:tblW w:w="5575" w:type="dxa"/>
        <w:tblLook w:val="04A0" w:firstRow="1" w:lastRow="0" w:firstColumn="1" w:lastColumn="0" w:noHBand="0" w:noVBand="1"/>
      </w:tblPr>
      <w:tblGrid>
        <w:gridCol w:w="2100"/>
        <w:gridCol w:w="1765"/>
        <w:gridCol w:w="1710"/>
      </w:tblGrid>
      <w:tr w:rsidR="00BF1519" w:rsidRPr="00BF1519" w14:paraId="67E9C280" w14:textId="77777777" w:rsidTr="006D26DC">
        <w:trPr>
          <w:trHeight w:val="320"/>
        </w:trPr>
        <w:tc>
          <w:tcPr>
            <w:tcW w:w="5575" w:type="dxa"/>
            <w:gridSpan w:val="3"/>
            <w:tcBorders>
              <w:top w:val="single" w:sz="4" w:space="0" w:color="auto"/>
              <w:left w:val="single" w:sz="4" w:space="0" w:color="auto"/>
              <w:bottom w:val="single" w:sz="8" w:space="0" w:color="auto"/>
              <w:right w:val="single" w:sz="4" w:space="0" w:color="000000"/>
            </w:tcBorders>
            <w:shd w:val="clear" w:color="auto" w:fill="auto"/>
            <w:noWrap/>
            <w:vAlign w:val="bottom"/>
            <w:hideMark/>
          </w:tcPr>
          <w:p w14:paraId="2916B9FC" w14:textId="77777777" w:rsidR="00BF1519" w:rsidRPr="00BF1519" w:rsidRDefault="00BF1519" w:rsidP="00BF1519">
            <w:pPr>
              <w:jc w:val="center"/>
              <w:rPr>
                <w:rFonts w:ascii="Calibri" w:hAnsi="Calibri"/>
                <w:b/>
                <w:bCs/>
              </w:rPr>
            </w:pPr>
            <w:r w:rsidRPr="00BF1519">
              <w:rPr>
                <w:rFonts w:ascii="Calibri" w:hAnsi="Calibri"/>
                <w:b/>
                <w:bCs/>
              </w:rPr>
              <w:t>Annual Earnings by College-Graduate Status</w:t>
            </w:r>
          </w:p>
        </w:tc>
      </w:tr>
      <w:tr w:rsidR="00BF1519" w:rsidRPr="00BF1519" w14:paraId="528C8C4B" w14:textId="77777777" w:rsidTr="006D26DC">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DD78D0F" w14:textId="77777777" w:rsidR="00BF1519" w:rsidRPr="00BF1519" w:rsidRDefault="00BF1519" w:rsidP="00BF1519">
            <w:pPr>
              <w:rPr>
                <w:rFonts w:ascii="Calibri" w:hAnsi="Calibri"/>
                <w:i/>
                <w:iCs/>
              </w:rPr>
            </w:pPr>
            <w:r w:rsidRPr="00BF1519">
              <w:rPr>
                <w:rFonts w:ascii="Calibri" w:hAnsi="Calibri"/>
                <w:i/>
                <w:iCs/>
              </w:rPr>
              <w:t> </w:t>
            </w:r>
          </w:p>
        </w:tc>
        <w:tc>
          <w:tcPr>
            <w:tcW w:w="1765" w:type="dxa"/>
            <w:tcBorders>
              <w:top w:val="nil"/>
              <w:left w:val="nil"/>
              <w:bottom w:val="single" w:sz="4" w:space="0" w:color="auto"/>
              <w:right w:val="single" w:sz="4" w:space="0" w:color="auto"/>
            </w:tcBorders>
            <w:shd w:val="clear" w:color="auto" w:fill="auto"/>
            <w:noWrap/>
            <w:vAlign w:val="bottom"/>
            <w:hideMark/>
          </w:tcPr>
          <w:p w14:paraId="214B22C9" w14:textId="77777777" w:rsidR="00BF1519" w:rsidRPr="00BF1519" w:rsidRDefault="00BF1519" w:rsidP="00BF1519">
            <w:pPr>
              <w:jc w:val="center"/>
              <w:rPr>
                <w:rFonts w:ascii="Calibri" w:hAnsi="Calibri"/>
                <w:i/>
                <w:iCs/>
              </w:rPr>
            </w:pPr>
            <w:r w:rsidRPr="00BF1519">
              <w:rPr>
                <w:rFonts w:ascii="Calibri" w:hAnsi="Calibri"/>
                <w:i/>
                <w:iCs/>
              </w:rPr>
              <w:t>Non-graduate</w:t>
            </w:r>
          </w:p>
        </w:tc>
        <w:tc>
          <w:tcPr>
            <w:tcW w:w="1710" w:type="dxa"/>
            <w:tcBorders>
              <w:top w:val="nil"/>
              <w:left w:val="nil"/>
              <w:bottom w:val="single" w:sz="4" w:space="0" w:color="auto"/>
              <w:right w:val="single" w:sz="4" w:space="0" w:color="auto"/>
            </w:tcBorders>
            <w:shd w:val="clear" w:color="auto" w:fill="auto"/>
            <w:noWrap/>
            <w:vAlign w:val="bottom"/>
            <w:hideMark/>
          </w:tcPr>
          <w:p w14:paraId="5A82448C" w14:textId="77777777" w:rsidR="00BF1519" w:rsidRPr="00BF1519" w:rsidRDefault="00BF1519" w:rsidP="00BF1519">
            <w:pPr>
              <w:jc w:val="center"/>
              <w:rPr>
                <w:rFonts w:ascii="Calibri" w:hAnsi="Calibri"/>
                <w:i/>
                <w:iCs/>
              </w:rPr>
            </w:pPr>
            <w:r w:rsidRPr="00BF1519">
              <w:rPr>
                <w:rFonts w:ascii="Calibri" w:hAnsi="Calibri"/>
                <w:i/>
                <w:iCs/>
              </w:rPr>
              <w:t>Graduate</w:t>
            </w:r>
          </w:p>
        </w:tc>
      </w:tr>
      <w:tr w:rsidR="00BF1519" w:rsidRPr="00BF1519" w14:paraId="061B2F6C" w14:textId="77777777" w:rsidTr="006D26DC">
        <w:trPr>
          <w:trHeight w:val="300"/>
        </w:trPr>
        <w:tc>
          <w:tcPr>
            <w:tcW w:w="2100" w:type="dxa"/>
            <w:tcBorders>
              <w:top w:val="nil"/>
              <w:left w:val="single" w:sz="4" w:space="0" w:color="auto"/>
              <w:bottom w:val="nil"/>
              <w:right w:val="single" w:sz="4" w:space="0" w:color="auto"/>
            </w:tcBorders>
            <w:shd w:val="clear" w:color="auto" w:fill="auto"/>
            <w:noWrap/>
            <w:vAlign w:val="bottom"/>
            <w:hideMark/>
          </w:tcPr>
          <w:p w14:paraId="74EF067D" w14:textId="77777777" w:rsidR="00BF1519" w:rsidRPr="00BF1519" w:rsidRDefault="00BF1519" w:rsidP="00BF1519">
            <w:pPr>
              <w:rPr>
                <w:rFonts w:ascii="Calibri" w:hAnsi="Calibri"/>
              </w:rPr>
            </w:pPr>
            <w:r w:rsidRPr="00BF1519">
              <w:rPr>
                <w:rFonts w:ascii="Calibri" w:hAnsi="Calibri"/>
              </w:rPr>
              <w:t>Mean</w:t>
            </w:r>
          </w:p>
        </w:tc>
        <w:tc>
          <w:tcPr>
            <w:tcW w:w="1765" w:type="dxa"/>
            <w:tcBorders>
              <w:top w:val="nil"/>
              <w:left w:val="nil"/>
              <w:bottom w:val="nil"/>
              <w:right w:val="single" w:sz="4" w:space="0" w:color="auto"/>
            </w:tcBorders>
            <w:shd w:val="clear" w:color="auto" w:fill="auto"/>
            <w:noWrap/>
            <w:vAlign w:val="bottom"/>
            <w:hideMark/>
          </w:tcPr>
          <w:p w14:paraId="10D8E32C" w14:textId="77777777" w:rsidR="00BF1519" w:rsidRPr="00BF1519" w:rsidRDefault="00BF1519" w:rsidP="00BF1519">
            <w:pPr>
              <w:jc w:val="right"/>
              <w:rPr>
                <w:rFonts w:ascii="Calibri" w:hAnsi="Calibri"/>
              </w:rPr>
            </w:pPr>
            <w:r w:rsidRPr="00BF1519">
              <w:rPr>
                <w:rFonts w:ascii="Calibri" w:hAnsi="Calibri"/>
              </w:rPr>
              <w:t>$31,881</w:t>
            </w:r>
          </w:p>
        </w:tc>
        <w:tc>
          <w:tcPr>
            <w:tcW w:w="1710" w:type="dxa"/>
            <w:tcBorders>
              <w:top w:val="nil"/>
              <w:left w:val="nil"/>
              <w:bottom w:val="nil"/>
              <w:right w:val="single" w:sz="4" w:space="0" w:color="auto"/>
            </w:tcBorders>
            <w:shd w:val="clear" w:color="auto" w:fill="auto"/>
            <w:noWrap/>
            <w:vAlign w:val="bottom"/>
            <w:hideMark/>
          </w:tcPr>
          <w:p w14:paraId="6B8FC8E7" w14:textId="77777777" w:rsidR="00BF1519" w:rsidRPr="00BF1519" w:rsidRDefault="00BF1519" w:rsidP="00BF1519">
            <w:pPr>
              <w:jc w:val="right"/>
              <w:rPr>
                <w:rFonts w:ascii="Calibri" w:hAnsi="Calibri"/>
              </w:rPr>
            </w:pPr>
            <w:r w:rsidRPr="00BF1519">
              <w:rPr>
                <w:rFonts w:ascii="Calibri" w:hAnsi="Calibri"/>
              </w:rPr>
              <w:t>$80,150</w:t>
            </w:r>
          </w:p>
        </w:tc>
      </w:tr>
      <w:tr w:rsidR="00BF1519" w:rsidRPr="00BF1519" w14:paraId="78D01E33" w14:textId="77777777" w:rsidTr="006D26DC">
        <w:trPr>
          <w:trHeight w:val="300"/>
        </w:trPr>
        <w:tc>
          <w:tcPr>
            <w:tcW w:w="2100" w:type="dxa"/>
            <w:tcBorders>
              <w:top w:val="nil"/>
              <w:left w:val="single" w:sz="4" w:space="0" w:color="auto"/>
              <w:bottom w:val="nil"/>
              <w:right w:val="single" w:sz="4" w:space="0" w:color="auto"/>
            </w:tcBorders>
            <w:shd w:val="clear" w:color="auto" w:fill="auto"/>
            <w:noWrap/>
            <w:vAlign w:val="bottom"/>
            <w:hideMark/>
          </w:tcPr>
          <w:p w14:paraId="5BF6EC1E" w14:textId="77777777" w:rsidR="00BF1519" w:rsidRPr="00BF1519" w:rsidRDefault="00BF1519" w:rsidP="00BF1519">
            <w:pPr>
              <w:rPr>
                <w:rFonts w:ascii="Calibri" w:hAnsi="Calibri"/>
              </w:rPr>
            </w:pPr>
            <w:r w:rsidRPr="00BF1519">
              <w:rPr>
                <w:rFonts w:ascii="Calibri" w:hAnsi="Calibri"/>
              </w:rPr>
              <w:t>Median</w:t>
            </w:r>
          </w:p>
        </w:tc>
        <w:tc>
          <w:tcPr>
            <w:tcW w:w="1765" w:type="dxa"/>
            <w:tcBorders>
              <w:top w:val="nil"/>
              <w:left w:val="nil"/>
              <w:bottom w:val="nil"/>
              <w:right w:val="single" w:sz="4" w:space="0" w:color="auto"/>
            </w:tcBorders>
            <w:shd w:val="clear" w:color="auto" w:fill="auto"/>
            <w:noWrap/>
            <w:vAlign w:val="bottom"/>
            <w:hideMark/>
          </w:tcPr>
          <w:p w14:paraId="2ACD2958" w14:textId="77777777" w:rsidR="00BF1519" w:rsidRPr="00BF1519" w:rsidRDefault="00BF1519" w:rsidP="00BF1519">
            <w:pPr>
              <w:jc w:val="right"/>
              <w:rPr>
                <w:rFonts w:ascii="Calibri" w:hAnsi="Calibri"/>
              </w:rPr>
            </w:pPr>
            <w:r w:rsidRPr="00BF1519">
              <w:rPr>
                <w:rFonts w:ascii="Calibri" w:hAnsi="Calibri"/>
              </w:rPr>
              <w:t>$25,000</w:t>
            </w:r>
          </w:p>
        </w:tc>
        <w:tc>
          <w:tcPr>
            <w:tcW w:w="1710" w:type="dxa"/>
            <w:tcBorders>
              <w:top w:val="nil"/>
              <w:left w:val="nil"/>
              <w:bottom w:val="nil"/>
              <w:right w:val="single" w:sz="4" w:space="0" w:color="auto"/>
            </w:tcBorders>
            <w:shd w:val="clear" w:color="auto" w:fill="auto"/>
            <w:noWrap/>
            <w:vAlign w:val="bottom"/>
            <w:hideMark/>
          </w:tcPr>
          <w:p w14:paraId="1BB7E4C5" w14:textId="77777777" w:rsidR="00BF1519" w:rsidRPr="00BF1519" w:rsidRDefault="00BF1519" w:rsidP="00BF1519">
            <w:pPr>
              <w:jc w:val="right"/>
              <w:rPr>
                <w:rFonts w:ascii="Calibri" w:hAnsi="Calibri"/>
              </w:rPr>
            </w:pPr>
            <w:r w:rsidRPr="00BF1519">
              <w:rPr>
                <w:rFonts w:ascii="Calibri" w:hAnsi="Calibri"/>
              </w:rPr>
              <w:t>$60,000</w:t>
            </w:r>
          </w:p>
        </w:tc>
      </w:tr>
      <w:tr w:rsidR="00BF1519" w:rsidRPr="00BF1519" w14:paraId="02757313" w14:textId="77777777" w:rsidTr="006D26DC">
        <w:trPr>
          <w:trHeight w:val="300"/>
        </w:trPr>
        <w:tc>
          <w:tcPr>
            <w:tcW w:w="2100" w:type="dxa"/>
            <w:tcBorders>
              <w:top w:val="nil"/>
              <w:left w:val="single" w:sz="4" w:space="0" w:color="auto"/>
              <w:bottom w:val="nil"/>
              <w:right w:val="single" w:sz="4" w:space="0" w:color="auto"/>
            </w:tcBorders>
            <w:shd w:val="clear" w:color="auto" w:fill="auto"/>
            <w:noWrap/>
            <w:vAlign w:val="bottom"/>
            <w:hideMark/>
          </w:tcPr>
          <w:p w14:paraId="6323730D" w14:textId="77777777" w:rsidR="00BF1519" w:rsidRPr="00BF1519" w:rsidRDefault="00BF1519" w:rsidP="00BF1519">
            <w:pPr>
              <w:rPr>
                <w:rFonts w:ascii="Calibri" w:hAnsi="Calibri"/>
              </w:rPr>
            </w:pPr>
            <w:r w:rsidRPr="00BF1519">
              <w:rPr>
                <w:rFonts w:ascii="Calibri" w:hAnsi="Calibri"/>
              </w:rPr>
              <w:t>Standard Deviation</w:t>
            </w:r>
          </w:p>
        </w:tc>
        <w:tc>
          <w:tcPr>
            <w:tcW w:w="1765" w:type="dxa"/>
            <w:tcBorders>
              <w:top w:val="nil"/>
              <w:left w:val="nil"/>
              <w:bottom w:val="nil"/>
              <w:right w:val="single" w:sz="4" w:space="0" w:color="auto"/>
            </w:tcBorders>
            <w:shd w:val="clear" w:color="auto" w:fill="auto"/>
            <w:noWrap/>
            <w:vAlign w:val="bottom"/>
            <w:hideMark/>
          </w:tcPr>
          <w:p w14:paraId="6201A28C" w14:textId="77777777" w:rsidR="00BF1519" w:rsidRPr="00BF1519" w:rsidRDefault="00BF1519" w:rsidP="00BF1519">
            <w:pPr>
              <w:jc w:val="right"/>
              <w:rPr>
                <w:rFonts w:ascii="Calibri" w:hAnsi="Calibri"/>
              </w:rPr>
            </w:pPr>
            <w:r w:rsidRPr="00BF1519">
              <w:rPr>
                <w:rFonts w:ascii="Calibri" w:hAnsi="Calibri"/>
              </w:rPr>
              <w:t>$36,968</w:t>
            </w:r>
          </w:p>
        </w:tc>
        <w:tc>
          <w:tcPr>
            <w:tcW w:w="1710" w:type="dxa"/>
            <w:tcBorders>
              <w:top w:val="nil"/>
              <w:left w:val="nil"/>
              <w:bottom w:val="nil"/>
              <w:right w:val="single" w:sz="4" w:space="0" w:color="auto"/>
            </w:tcBorders>
            <w:shd w:val="clear" w:color="auto" w:fill="auto"/>
            <w:noWrap/>
            <w:vAlign w:val="bottom"/>
            <w:hideMark/>
          </w:tcPr>
          <w:p w14:paraId="73C5B31E" w14:textId="77777777" w:rsidR="00BF1519" w:rsidRPr="00BF1519" w:rsidRDefault="00BF1519" w:rsidP="00BF1519">
            <w:pPr>
              <w:jc w:val="right"/>
              <w:rPr>
                <w:rFonts w:ascii="Calibri" w:hAnsi="Calibri"/>
              </w:rPr>
            </w:pPr>
            <w:r w:rsidRPr="00BF1519">
              <w:rPr>
                <w:rFonts w:ascii="Calibri" w:hAnsi="Calibri"/>
              </w:rPr>
              <w:t>$81,976</w:t>
            </w:r>
          </w:p>
        </w:tc>
      </w:tr>
      <w:tr w:rsidR="00BF1519" w:rsidRPr="00BF1519" w14:paraId="1EA73892" w14:textId="77777777" w:rsidTr="006D26DC">
        <w:trPr>
          <w:trHeight w:val="300"/>
        </w:trPr>
        <w:tc>
          <w:tcPr>
            <w:tcW w:w="2100" w:type="dxa"/>
            <w:tcBorders>
              <w:top w:val="nil"/>
              <w:left w:val="single" w:sz="4" w:space="0" w:color="auto"/>
              <w:bottom w:val="nil"/>
              <w:right w:val="single" w:sz="4" w:space="0" w:color="auto"/>
            </w:tcBorders>
            <w:shd w:val="clear" w:color="auto" w:fill="auto"/>
            <w:noWrap/>
            <w:vAlign w:val="bottom"/>
            <w:hideMark/>
          </w:tcPr>
          <w:p w14:paraId="6ECC460A" w14:textId="77777777" w:rsidR="00BF1519" w:rsidRPr="00BF1519" w:rsidRDefault="00BF1519" w:rsidP="00BF1519">
            <w:pPr>
              <w:rPr>
                <w:rFonts w:ascii="Calibri" w:hAnsi="Calibri"/>
              </w:rPr>
            </w:pPr>
            <w:r w:rsidRPr="00BF1519">
              <w:rPr>
                <w:rFonts w:ascii="Calibri" w:hAnsi="Calibri"/>
              </w:rPr>
              <w:t>Minimum</w:t>
            </w:r>
          </w:p>
        </w:tc>
        <w:tc>
          <w:tcPr>
            <w:tcW w:w="1765" w:type="dxa"/>
            <w:tcBorders>
              <w:top w:val="nil"/>
              <w:left w:val="nil"/>
              <w:bottom w:val="nil"/>
              <w:right w:val="single" w:sz="4" w:space="0" w:color="auto"/>
            </w:tcBorders>
            <w:shd w:val="clear" w:color="auto" w:fill="auto"/>
            <w:noWrap/>
            <w:vAlign w:val="bottom"/>
            <w:hideMark/>
          </w:tcPr>
          <w:p w14:paraId="2DA7D8EF" w14:textId="77777777" w:rsidR="00BF1519" w:rsidRPr="00BF1519" w:rsidRDefault="00BF1519" w:rsidP="00BF1519">
            <w:pPr>
              <w:jc w:val="right"/>
              <w:rPr>
                <w:rFonts w:ascii="Calibri" w:hAnsi="Calibri"/>
              </w:rPr>
            </w:pPr>
            <w:r w:rsidRPr="00BF1519">
              <w:rPr>
                <w:rFonts w:ascii="Calibri" w:hAnsi="Calibri"/>
              </w:rPr>
              <w:t>$0</w:t>
            </w:r>
          </w:p>
        </w:tc>
        <w:tc>
          <w:tcPr>
            <w:tcW w:w="1710" w:type="dxa"/>
            <w:tcBorders>
              <w:top w:val="nil"/>
              <w:left w:val="nil"/>
              <w:bottom w:val="nil"/>
              <w:right w:val="single" w:sz="4" w:space="0" w:color="auto"/>
            </w:tcBorders>
            <w:shd w:val="clear" w:color="auto" w:fill="auto"/>
            <w:noWrap/>
            <w:vAlign w:val="bottom"/>
            <w:hideMark/>
          </w:tcPr>
          <w:p w14:paraId="1B3A1794" w14:textId="77777777" w:rsidR="00BF1519" w:rsidRPr="00BF1519" w:rsidRDefault="00BF1519" w:rsidP="00BF1519">
            <w:pPr>
              <w:jc w:val="right"/>
              <w:rPr>
                <w:rFonts w:ascii="Calibri" w:hAnsi="Calibri"/>
              </w:rPr>
            </w:pPr>
            <w:r w:rsidRPr="00BF1519">
              <w:rPr>
                <w:rFonts w:ascii="Calibri" w:hAnsi="Calibri"/>
              </w:rPr>
              <w:t>$0</w:t>
            </w:r>
          </w:p>
        </w:tc>
      </w:tr>
      <w:tr w:rsidR="00BF1519" w:rsidRPr="00BF1519" w14:paraId="22103650" w14:textId="77777777" w:rsidTr="006D26DC">
        <w:trPr>
          <w:trHeight w:val="300"/>
        </w:trPr>
        <w:tc>
          <w:tcPr>
            <w:tcW w:w="2100" w:type="dxa"/>
            <w:tcBorders>
              <w:top w:val="nil"/>
              <w:left w:val="single" w:sz="4" w:space="0" w:color="auto"/>
              <w:bottom w:val="nil"/>
              <w:right w:val="single" w:sz="4" w:space="0" w:color="auto"/>
            </w:tcBorders>
            <w:shd w:val="clear" w:color="auto" w:fill="auto"/>
            <w:noWrap/>
            <w:vAlign w:val="bottom"/>
            <w:hideMark/>
          </w:tcPr>
          <w:p w14:paraId="10320E89" w14:textId="77777777" w:rsidR="00BF1519" w:rsidRPr="00BF1519" w:rsidRDefault="00BF1519" w:rsidP="00BF1519">
            <w:pPr>
              <w:rPr>
                <w:rFonts w:ascii="Calibri" w:hAnsi="Calibri"/>
              </w:rPr>
            </w:pPr>
            <w:r w:rsidRPr="00BF1519">
              <w:rPr>
                <w:rFonts w:ascii="Calibri" w:hAnsi="Calibri"/>
              </w:rPr>
              <w:t>Maximum</w:t>
            </w:r>
          </w:p>
        </w:tc>
        <w:tc>
          <w:tcPr>
            <w:tcW w:w="1765" w:type="dxa"/>
            <w:tcBorders>
              <w:top w:val="nil"/>
              <w:left w:val="nil"/>
              <w:bottom w:val="nil"/>
              <w:right w:val="single" w:sz="4" w:space="0" w:color="auto"/>
            </w:tcBorders>
            <w:shd w:val="clear" w:color="auto" w:fill="auto"/>
            <w:noWrap/>
            <w:vAlign w:val="bottom"/>
            <w:hideMark/>
          </w:tcPr>
          <w:p w14:paraId="6B645AE9" w14:textId="77777777" w:rsidR="00BF1519" w:rsidRPr="00BF1519" w:rsidRDefault="00BF1519" w:rsidP="00BF1519">
            <w:pPr>
              <w:jc w:val="right"/>
              <w:rPr>
                <w:rFonts w:ascii="Calibri" w:hAnsi="Calibri"/>
              </w:rPr>
            </w:pPr>
            <w:r w:rsidRPr="00BF1519">
              <w:rPr>
                <w:rFonts w:ascii="Calibri" w:hAnsi="Calibri"/>
              </w:rPr>
              <w:t>$312,324</w:t>
            </w:r>
          </w:p>
        </w:tc>
        <w:tc>
          <w:tcPr>
            <w:tcW w:w="1710" w:type="dxa"/>
            <w:tcBorders>
              <w:top w:val="nil"/>
              <w:left w:val="nil"/>
              <w:bottom w:val="nil"/>
              <w:right w:val="single" w:sz="4" w:space="0" w:color="auto"/>
            </w:tcBorders>
            <w:shd w:val="clear" w:color="auto" w:fill="auto"/>
            <w:noWrap/>
            <w:vAlign w:val="bottom"/>
            <w:hideMark/>
          </w:tcPr>
          <w:p w14:paraId="04007EE1" w14:textId="77777777" w:rsidR="00BF1519" w:rsidRPr="00BF1519" w:rsidRDefault="00BF1519" w:rsidP="00BF1519">
            <w:pPr>
              <w:jc w:val="right"/>
              <w:rPr>
                <w:rFonts w:ascii="Calibri" w:hAnsi="Calibri"/>
              </w:rPr>
            </w:pPr>
            <w:r w:rsidRPr="00BF1519">
              <w:rPr>
                <w:rFonts w:ascii="Calibri" w:hAnsi="Calibri"/>
              </w:rPr>
              <w:t>$312,324</w:t>
            </w:r>
          </w:p>
        </w:tc>
      </w:tr>
      <w:tr w:rsidR="00BF1519" w:rsidRPr="00BF1519" w14:paraId="2072D2B2" w14:textId="77777777" w:rsidTr="006D26DC">
        <w:trPr>
          <w:trHeight w:val="300"/>
        </w:trPr>
        <w:tc>
          <w:tcPr>
            <w:tcW w:w="2100" w:type="dxa"/>
            <w:tcBorders>
              <w:top w:val="nil"/>
              <w:left w:val="single" w:sz="4" w:space="0" w:color="auto"/>
              <w:bottom w:val="nil"/>
              <w:right w:val="single" w:sz="4" w:space="0" w:color="auto"/>
            </w:tcBorders>
            <w:shd w:val="clear" w:color="auto" w:fill="auto"/>
            <w:noWrap/>
            <w:vAlign w:val="bottom"/>
            <w:hideMark/>
          </w:tcPr>
          <w:p w14:paraId="630053DB" w14:textId="77777777" w:rsidR="00BF1519" w:rsidRPr="00BF1519" w:rsidRDefault="00BF1519" w:rsidP="00BF1519">
            <w:pPr>
              <w:rPr>
                <w:rFonts w:ascii="Calibri" w:hAnsi="Calibri"/>
              </w:rPr>
            </w:pPr>
            <w:r w:rsidRPr="00BF1519">
              <w:rPr>
                <w:rFonts w:ascii="Calibri" w:hAnsi="Calibri"/>
              </w:rPr>
              <w:t>25th Percentile</w:t>
            </w:r>
          </w:p>
        </w:tc>
        <w:tc>
          <w:tcPr>
            <w:tcW w:w="1765" w:type="dxa"/>
            <w:tcBorders>
              <w:top w:val="nil"/>
              <w:left w:val="nil"/>
              <w:bottom w:val="nil"/>
              <w:right w:val="single" w:sz="4" w:space="0" w:color="auto"/>
            </w:tcBorders>
            <w:shd w:val="clear" w:color="auto" w:fill="auto"/>
            <w:noWrap/>
            <w:vAlign w:val="bottom"/>
            <w:hideMark/>
          </w:tcPr>
          <w:p w14:paraId="1E9DECA0" w14:textId="77777777" w:rsidR="00BF1519" w:rsidRPr="00BF1519" w:rsidRDefault="00BF1519" w:rsidP="00BF1519">
            <w:pPr>
              <w:jc w:val="right"/>
              <w:rPr>
                <w:rFonts w:ascii="Calibri" w:hAnsi="Calibri"/>
              </w:rPr>
            </w:pPr>
            <w:r w:rsidRPr="00BF1519">
              <w:rPr>
                <w:rFonts w:ascii="Calibri" w:hAnsi="Calibri"/>
              </w:rPr>
              <w:t>$2,400</w:t>
            </w:r>
          </w:p>
        </w:tc>
        <w:tc>
          <w:tcPr>
            <w:tcW w:w="1710" w:type="dxa"/>
            <w:tcBorders>
              <w:top w:val="nil"/>
              <w:left w:val="nil"/>
              <w:bottom w:val="nil"/>
              <w:right w:val="single" w:sz="4" w:space="0" w:color="auto"/>
            </w:tcBorders>
            <w:shd w:val="clear" w:color="auto" w:fill="auto"/>
            <w:noWrap/>
            <w:vAlign w:val="bottom"/>
            <w:hideMark/>
          </w:tcPr>
          <w:p w14:paraId="2B8B7777" w14:textId="77777777" w:rsidR="00BF1519" w:rsidRPr="00BF1519" w:rsidRDefault="00BF1519" w:rsidP="00BF1519">
            <w:pPr>
              <w:jc w:val="right"/>
              <w:rPr>
                <w:rFonts w:ascii="Calibri" w:hAnsi="Calibri"/>
              </w:rPr>
            </w:pPr>
            <w:r w:rsidRPr="00BF1519">
              <w:rPr>
                <w:rFonts w:ascii="Calibri" w:hAnsi="Calibri"/>
              </w:rPr>
              <w:t>$30,000</w:t>
            </w:r>
          </w:p>
        </w:tc>
      </w:tr>
      <w:tr w:rsidR="00BF1519" w:rsidRPr="00BF1519" w14:paraId="418F0A23" w14:textId="77777777" w:rsidTr="006D26DC">
        <w:trPr>
          <w:trHeight w:val="300"/>
        </w:trPr>
        <w:tc>
          <w:tcPr>
            <w:tcW w:w="2100" w:type="dxa"/>
            <w:tcBorders>
              <w:top w:val="nil"/>
              <w:left w:val="single" w:sz="4" w:space="0" w:color="auto"/>
              <w:bottom w:val="nil"/>
              <w:right w:val="single" w:sz="4" w:space="0" w:color="auto"/>
            </w:tcBorders>
            <w:shd w:val="clear" w:color="auto" w:fill="auto"/>
            <w:noWrap/>
            <w:vAlign w:val="bottom"/>
            <w:hideMark/>
          </w:tcPr>
          <w:p w14:paraId="7009AE8F" w14:textId="77777777" w:rsidR="00BF1519" w:rsidRPr="00BF1519" w:rsidRDefault="00BF1519" w:rsidP="00BF1519">
            <w:pPr>
              <w:rPr>
                <w:rFonts w:ascii="Calibri" w:hAnsi="Calibri"/>
              </w:rPr>
            </w:pPr>
            <w:r w:rsidRPr="00BF1519">
              <w:rPr>
                <w:rFonts w:ascii="Calibri" w:hAnsi="Calibri"/>
              </w:rPr>
              <w:t>75th Percentile</w:t>
            </w:r>
          </w:p>
        </w:tc>
        <w:tc>
          <w:tcPr>
            <w:tcW w:w="1765" w:type="dxa"/>
            <w:tcBorders>
              <w:top w:val="nil"/>
              <w:left w:val="nil"/>
              <w:bottom w:val="nil"/>
              <w:right w:val="single" w:sz="4" w:space="0" w:color="auto"/>
            </w:tcBorders>
            <w:shd w:val="clear" w:color="auto" w:fill="auto"/>
            <w:noWrap/>
            <w:vAlign w:val="bottom"/>
            <w:hideMark/>
          </w:tcPr>
          <w:p w14:paraId="3E7A911F" w14:textId="77777777" w:rsidR="00BF1519" w:rsidRPr="00BF1519" w:rsidRDefault="00BF1519" w:rsidP="00BF1519">
            <w:pPr>
              <w:jc w:val="right"/>
              <w:rPr>
                <w:rFonts w:ascii="Calibri" w:hAnsi="Calibri"/>
              </w:rPr>
            </w:pPr>
            <w:r w:rsidRPr="00BF1519">
              <w:rPr>
                <w:rFonts w:ascii="Calibri" w:hAnsi="Calibri"/>
              </w:rPr>
              <w:t>$46,000</w:t>
            </w:r>
          </w:p>
        </w:tc>
        <w:tc>
          <w:tcPr>
            <w:tcW w:w="1710" w:type="dxa"/>
            <w:tcBorders>
              <w:top w:val="nil"/>
              <w:left w:val="nil"/>
              <w:bottom w:val="nil"/>
              <w:right w:val="single" w:sz="4" w:space="0" w:color="auto"/>
            </w:tcBorders>
            <w:shd w:val="clear" w:color="auto" w:fill="auto"/>
            <w:noWrap/>
            <w:vAlign w:val="bottom"/>
            <w:hideMark/>
          </w:tcPr>
          <w:p w14:paraId="7F1E1EC3" w14:textId="77777777" w:rsidR="00BF1519" w:rsidRPr="00BF1519" w:rsidRDefault="00BF1519" w:rsidP="00BF1519">
            <w:pPr>
              <w:jc w:val="right"/>
              <w:rPr>
                <w:rFonts w:ascii="Calibri" w:hAnsi="Calibri"/>
              </w:rPr>
            </w:pPr>
            <w:r w:rsidRPr="00BF1519">
              <w:rPr>
                <w:rFonts w:ascii="Calibri" w:hAnsi="Calibri"/>
              </w:rPr>
              <w:t>$100,000</w:t>
            </w:r>
          </w:p>
        </w:tc>
      </w:tr>
      <w:tr w:rsidR="00BF1519" w:rsidRPr="00BF1519" w14:paraId="713F5BBA" w14:textId="77777777" w:rsidTr="006D26DC">
        <w:trPr>
          <w:trHeight w:val="320"/>
        </w:trPr>
        <w:tc>
          <w:tcPr>
            <w:tcW w:w="2100" w:type="dxa"/>
            <w:tcBorders>
              <w:top w:val="nil"/>
              <w:left w:val="single" w:sz="4" w:space="0" w:color="auto"/>
              <w:bottom w:val="single" w:sz="8" w:space="0" w:color="auto"/>
              <w:right w:val="single" w:sz="4" w:space="0" w:color="auto"/>
            </w:tcBorders>
            <w:shd w:val="clear" w:color="auto" w:fill="auto"/>
            <w:noWrap/>
            <w:vAlign w:val="bottom"/>
            <w:hideMark/>
          </w:tcPr>
          <w:p w14:paraId="2784BEC0" w14:textId="77777777" w:rsidR="00BF1519" w:rsidRPr="00BF1519" w:rsidRDefault="00BF1519" w:rsidP="00BF1519">
            <w:pPr>
              <w:rPr>
                <w:rFonts w:ascii="Calibri" w:hAnsi="Calibri"/>
              </w:rPr>
            </w:pPr>
            <w:r w:rsidRPr="00BF1519">
              <w:rPr>
                <w:rFonts w:ascii="Calibri" w:hAnsi="Calibri"/>
              </w:rPr>
              <w:t>Count</w:t>
            </w:r>
          </w:p>
        </w:tc>
        <w:tc>
          <w:tcPr>
            <w:tcW w:w="1765" w:type="dxa"/>
            <w:tcBorders>
              <w:top w:val="nil"/>
              <w:left w:val="nil"/>
              <w:bottom w:val="single" w:sz="8" w:space="0" w:color="auto"/>
              <w:right w:val="single" w:sz="4" w:space="0" w:color="auto"/>
            </w:tcBorders>
            <w:shd w:val="clear" w:color="auto" w:fill="auto"/>
            <w:noWrap/>
            <w:vAlign w:val="bottom"/>
            <w:hideMark/>
          </w:tcPr>
          <w:p w14:paraId="2A96A404" w14:textId="77777777" w:rsidR="00BF1519" w:rsidRPr="00BF1519" w:rsidRDefault="00BF1519" w:rsidP="00BF1519">
            <w:pPr>
              <w:jc w:val="right"/>
              <w:rPr>
                <w:rFonts w:ascii="Calibri" w:hAnsi="Calibri"/>
              </w:rPr>
            </w:pPr>
            <w:r w:rsidRPr="00BF1519">
              <w:rPr>
                <w:rFonts w:ascii="Calibri" w:hAnsi="Calibri"/>
              </w:rPr>
              <w:t>2839</w:t>
            </w:r>
          </w:p>
        </w:tc>
        <w:tc>
          <w:tcPr>
            <w:tcW w:w="1710" w:type="dxa"/>
            <w:tcBorders>
              <w:top w:val="nil"/>
              <w:left w:val="nil"/>
              <w:bottom w:val="single" w:sz="8" w:space="0" w:color="auto"/>
              <w:right w:val="single" w:sz="4" w:space="0" w:color="auto"/>
            </w:tcBorders>
            <w:shd w:val="clear" w:color="auto" w:fill="auto"/>
            <w:noWrap/>
            <w:vAlign w:val="bottom"/>
            <w:hideMark/>
          </w:tcPr>
          <w:p w14:paraId="701F063E" w14:textId="77777777" w:rsidR="00BF1519" w:rsidRPr="00BF1519" w:rsidRDefault="00BF1519" w:rsidP="00BF1519">
            <w:pPr>
              <w:jc w:val="right"/>
              <w:rPr>
                <w:rFonts w:ascii="Calibri" w:hAnsi="Calibri"/>
              </w:rPr>
            </w:pPr>
            <w:r w:rsidRPr="00BF1519">
              <w:rPr>
                <w:rFonts w:ascii="Calibri" w:hAnsi="Calibri"/>
              </w:rPr>
              <w:t>1078</w:t>
            </w:r>
          </w:p>
        </w:tc>
      </w:tr>
    </w:tbl>
    <w:p w14:paraId="0B3371F0" w14:textId="77777777" w:rsidR="00BF1519" w:rsidRPr="00CB4F71" w:rsidRDefault="00BF1519" w:rsidP="00EE7615">
      <w:pPr>
        <w:spacing w:line="276" w:lineRule="auto"/>
        <w:rPr>
          <w:rFonts w:ascii="-webkit-standard" w:hAnsi="-webkit-standard"/>
          <w:color w:val="000000"/>
        </w:rPr>
      </w:pPr>
    </w:p>
    <w:p w14:paraId="46C63940" w14:textId="6E7A0F88" w:rsidR="005B5522" w:rsidRPr="005B5522" w:rsidRDefault="005B5522" w:rsidP="00EE7615">
      <w:pPr>
        <w:spacing w:line="276" w:lineRule="auto"/>
        <w:rPr>
          <w:color w:val="000000"/>
        </w:rPr>
      </w:pPr>
      <w:r w:rsidRPr="005B5522">
        <w:rPr>
          <w:color w:val="000000"/>
        </w:rPr>
        <w:t xml:space="preserve">Next, let us understand a visualization of the data just summarized. Below are </w:t>
      </w:r>
      <w:r w:rsidRPr="005B5522">
        <w:rPr>
          <w:b/>
          <w:bCs/>
          <w:color w:val="000000"/>
        </w:rPr>
        <w:t xml:space="preserve">Figures 2a </w:t>
      </w:r>
      <w:r w:rsidRPr="005B5522">
        <w:rPr>
          <w:color w:val="000000"/>
        </w:rPr>
        <w:t>and</w:t>
      </w:r>
      <w:r w:rsidRPr="005B5522">
        <w:rPr>
          <w:b/>
          <w:bCs/>
          <w:color w:val="000000"/>
        </w:rPr>
        <w:t xml:space="preserve"> 2b</w:t>
      </w:r>
      <w:r w:rsidRPr="005B5522">
        <w:rPr>
          <w:color w:val="000000"/>
        </w:rPr>
        <w:t xml:space="preserve">, the relative frequencies of earnings based on college graduation status. As shown in </w:t>
      </w:r>
      <w:r w:rsidRPr="005B5522">
        <w:rPr>
          <w:b/>
          <w:bCs/>
          <w:color w:val="000000"/>
        </w:rPr>
        <w:t>Figure 2a</w:t>
      </w:r>
      <w:r w:rsidRPr="005B5522">
        <w:rPr>
          <w:color w:val="000000"/>
        </w:rPr>
        <w:t xml:space="preserve">, the highest percentage (approximately 30%) of non-graduates earned between $0 and $10,000 annually. The next highest percentage is near 15%, which was in the $20,000 to $29,000 annual earnings range. Meanwhile, in </w:t>
      </w:r>
      <w:r w:rsidRPr="005B5522">
        <w:rPr>
          <w:b/>
          <w:bCs/>
          <w:color w:val="000000"/>
        </w:rPr>
        <w:t>Figure 2b</w:t>
      </w:r>
      <w:r w:rsidRPr="005B5522">
        <w:rPr>
          <w:color w:val="000000"/>
        </w:rPr>
        <w:t>, the highest percentage of college graduates (approximately 25%) earned more than $100,000 annually, further indicating that the statistics shown earlier were not heavily influenced by a single outlier or small selection of outliers, but instead a considerable amount of those surveyed. There in fact appears to be a plurality of college graduates who earned much more than the mean. Next, for merely comparative purposes, approximately 15% of college graduates earned $0 to $10,000 annually. Taking into account the difference in the sizes of the two groups (non-college-graduates accounted for more than double the size of college graduates), we can safely conclude that more non-graduates earned less than $10,000 a year than graduates did. Additionally, looking at the histograms themselves, we can trace the low average annual earnings among non-graduates to a high percentage of low or zero incomes reported, whereas for college graduates, we see a much righter skewed distribution of earnings. This appears to show that a higher percentage of college graduates break into the six-figure earnings range than non-graduates. </w:t>
      </w:r>
    </w:p>
    <w:p w14:paraId="3D8F1AB3" w14:textId="77777777" w:rsidR="005B5522" w:rsidRPr="005B5522" w:rsidRDefault="005B5522" w:rsidP="005B5522">
      <w:pPr>
        <w:spacing w:line="276" w:lineRule="auto"/>
        <w:rPr>
          <w:color w:val="000000"/>
        </w:rPr>
      </w:pPr>
    </w:p>
    <w:p w14:paraId="3CA0C572" w14:textId="77777777" w:rsidR="005B5522" w:rsidRDefault="005B5522" w:rsidP="005B5522">
      <w:pPr>
        <w:spacing w:line="276" w:lineRule="auto"/>
        <w:rPr>
          <w:b/>
          <w:bCs/>
          <w:color w:val="000000"/>
        </w:rPr>
      </w:pPr>
      <w:r>
        <w:rPr>
          <w:b/>
          <w:bCs/>
          <w:color w:val="000000"/>
        </w:rPr>
        <w:br w:type="page"/>
      </w:r>
    </w:p>
    <w:p w14:paraId="2612C68A" w14:textId="3E48D56F" w:rsidR="00CB4F71" w:rsidRDefault="005B5522" w:rsidP="00BF1519">
      <w:pPr>
        <w:spacing w:line="276" w:lineRule="auto"/>
        <w:rPr>
          <w:b/>
          <w:bCs/>
          <w:color w:val="000000"/>
        </w:rPr>
      </w:pPr>
      <w:r w:rsidRPr="005B5522">
        <w:rPr>
          <w:b/>
          <w:bCs/>
          <w:color w:val="000000"/>
        </w:rPr>
        <w:lastRenderedPageBreak/>
        <w:t>Figure 2a</w:t>
      </w:r>
    </w:p>
    <w:p w14:paraId="0B30E8C8" w14:textId="77777777" w:rsidR="005B5522" w:rsidRPr="005B5522" w:rsidRDefault="005B5522" w:rsidP="00BF1519">
      <w:pPr>
        <w:spacing w:line="276" w:lineRule="auto"/>
        <w:rPr>
          <w:color w:val="000000"/>
        </w:rPr>
      </w:pPr>
    </w:p>
    <w:p w14:paraId="71214157" w14:textId="7BBCECD9" w:rsidR="00D52717" w:rsidRPr="005B5522" w:rsidRDefault="005579BF" w:rsidP="00BF1519">
      <w:pPr>
        <w:spacing w:line="276" w:lineRule="auto"/>
        <w:rPr>
          <w:rFonts w:ascii="-webkit-standard" w:hAnsi="-webkit-standard"/>
          <w:color w:val="000000"/>
        </w:rPr>
      </w:pPr>
      <w:r>
        <w:rPr>
          <w:noProof/>
        </w:rPr>
        <w:drawing>
          <wp:inline distT="0" distB="0" distL="0" distR="0" wp14:anchorId="6C8AF614" wp14:editId="0B8F7868">
            <wp:extent cx="4877804" cy="3657600"/>
            <wp:effectExtent l="0" t="0" r="12065" b="12700"/>
            <wp:docPr id="1" name="Chart 1">
              <a:extLst xmlns:a="http://schemas.openxmlformats.org/drawingml/2006/main">
                <a:ext uri="{FF2B5EF4-FFF2-40B4-BE49-F238E27FC236}">
                  <a16:creationId xmlns:a16="http://schemas.microsoft.com/office/drawing/2014/main" id="{00C610AE-816A-E74E-89C8-F867A8239094}"/>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C6165A" w14:textId="77777777" w:rsidR="00D52717" w:rsidRDefault="00D52717" w:rsidP="00BF1519">
      <w:pPr>
        <w:spacing w:line="276" w:lineRule="auto"/>
        <w:rPr>
          <w:b/>
          <w:bCs/>
          <w:color w:val="000000"/>
        </w:rPr>
      </w:pPr>
    </w:p>
    <w:p w14:paraId="67BDCC83" w14:textId="23D48A30" w:rsidR="00CB4F71" w:rsidRDefault="00CB4F71" w:rsidP="005B5522">
      <w:pPr>
        <w:spacing w:line="276" w:lineRule="auto"/>
        <w:rPr>
          <w:b/>
          <w:bCs/>
          <w:color w:val="000000"/>
        </w:rPr>
      </w:pPr>
      <w:r w:rsidRPr="00CB4F71">
        <w:rPr>
          <w:b/>
          <w:bCs/>
          <w:color w:val="000000"/>
        </w:rPr>
        <w:t>Figure 2b</w:t>
      </w:r>
    </w:p>
    <w:p w14:paraId="75A7155D" w14:textId="77777777" w:rsidR="00D52717" w:rsidRPr="00D52717" w:rsidRDefault="00D52717" w:rsidP="00BF1519">
      <w:pPr>
        <w:spacing w:line="276" w:lineRule="auto"/>
        <w:rPr>
          <w:rFonts w:ascii="-webkit-standard" w:hAnsi="-webkit-standard"/>
          <w:color w:val="000000"/>
        </w:rPr>
      </w:pPr>
    </w:p>
    <w:p w14:paraId="5CE3E7BE" w14:textId="797879B3" w:rsidR="005579BF" w:rsidRDefault="00752C7C" w:rsidP="00BF1519">
      <w:pPr>
        <w:spacing w:line="276" w:lineRule="auto"/>
        <w:rPr>
          <w:rFonts w:ascii="-webkit-standard" w:hAnsi="-webkit-standard"/>
          <w:color w:val="000000"/>
        </w:rPr>
      </w:pPr>
      <w:r>
        <w:rPr>
          <w:noProof/>
        </w:rPr>
        <w:drawing>
          <wp:inline distT="0" distB="0" distL="0" distR="0" wp14:anchorId="1DE1B3ED" wp14:editId="2EA9F010">
            <wp:extent cx="4876800" cy="3657600"/>
            <wp:effectExtent l="0" t="0" r="12700" b="12700"/>
            <wp:docPr id="2" name="Chart 2">
              <a:extLst xmlns:a="http://schemas.openxmlformats.org/drawingml/2006/main">
                <a:ext uri="{FF2B5EF4-FFF2-40B4-BE49-F238E27FC236}">
                  <a16:creationId xmlns:a16="http://schemas.microsoft.com/office/drawing/2014/main" id="{75B5E205-95DD-684B-8AF4-2CCAE953FF11}"/>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879C95" w14:textId="77777777" w:rsidR="005579BF" w:rsidRPr="00CB4F71" w:rsidRDefault="005579BF" w:rsidP="00BF1519">
      <w:pPr>
        <w:spacing w:line="276" w:lineRule="auto"/>
        <w:rPr>
          <w:rFonts w:ascii="-webkit-standard" w:hAnsi="-webkit-standard"/>
          <w:color w:val="000000"/>
        </w:rPr>
      </w:pPr>
    </w:p>
    <w:p w14:paraId="774CA46A" w14:textId="77777777" w:rsidR="00C852CB" w:rsidRPr="00C852CB" w:rsidRDefault="00C852CB" w:rsidP="00C852CB">
      <w:pPr>
        <w:spacing w:line="276" w:lineRule="auto"/>
        <w:rPr>
          <w:color w:val="000000"/>
        </w:rPr>
      </w:pPr>
      <w:r w:rsidRPr="00C852CB">
        <w:rPr>
          <w:b/>
          <w:bCs/>
          <w:color w:val="000000"/>
          <w:sz w:val="28"/>
          <w:szCs w:val="28"/>
          <w:u w:val="single"/>
        </w:rPr>
        <w:lastRenderedPageBreak/>
        <w:t>Effects of IQ on College Graduate Status and Earnings</w:t>
      </w:r>
    </w:p>
    <w:p w14:paraId="524C7D61" w14:textId="77777777" w:rsidR="00C852CB" w:rsidRPr="00C852CB" w:rsidRDefault="00C852CB" w:rsidP="00C852CB">
      <w:pPr>
        <w:spacing w:line="276" w:lineRule="auto"/>
        <w:rPr>
          <w:color w:val="000000"/>
        </w:rPr>
      </w:pPr>
    </w:p>
    <w:p w14:paraId="5B72CA47" w14:textId="77777777" w:rsidR="00C852CB" w:rsidRPr="00C852CB" w:rsidRDefault="00C852CB" w:rsidP="00C852CB">
      <w:pPr>
        <w:spacing w:line="276" w:lineRule="auto"/>
        <w:rPr>
          <w:color w:val="000000"/>
        </w:rPr>
      </w:pPr>
      <w:r w:rsidRPr="00C852CB">
        <w:rPr>
          <w:color w:val="000000"/>
        </w:rPr>
        <w:t xml:space="preserve">A hidden factor which may help to explain the sufficient earnings gap between college graduates and non-graduates is each group’s relative frequency of IQ scores. As per </w:t>
      </w:r>
      <w:r w:rsidRPr="00C852CB">
        <w:rPr>
          <w:b/>
          <w:bCs/>
          <w:color w:val="000000"/>
        </w:rPr>
        <w:t>Figures 3a</w:t>
      </w:r>
      <w:r w:rsidRPr="00C852CB">
        <w:rPr>
          <w:color w:val="000000"/>
        </w:rPr>
        <w:t xml:space="preserve"> and </w:t>
      </w:r>
      <w:r w:rsidRPr="00C852CB">
        <w:rPr>
          <w:b/>
          <w:bCs/>
          <w:color w:val="000000"/>
        </w:rPr>
        <w:t>3b</w:t>
      </w:r>
      <w:r w:rsidRPr="00C852CB">
        <w:rPr>
          <w:color w:val="000000"/>
        </w:rPr>
        <w:t xml:space="preserve"> below, college graduates scored higher on IQ tests than non-graduates. 35% of graduates landed in the 110-119 IQ scoring range, while less than 15% of non-graduates achieved the same results. Similarly, while 25% of non-graduates scored between 80 and 89 on the IQ assessment, only 5% of graduates did the same. Going to college may not be the underlying factor causing this divide between the IQ scores of graduates and non-graduates. However, it may be that those who have higher IQs are more likely to go to college and graduate. IQ is a complex human cognitive trait that is influenced by both genetics and environmental factors surrounding a child growing up. By the time a person goes to college, their IQ is inherent. Even though a person may continue to learn, their cognitive abilities will most likely remain the same. Still, those with higher IQs may be able to accomplish more complex and brain-intensive tasks, which may factor into their earnings and the type of work they do. </w:t>
      </w:r>
    </w:p>
    <w:p w14:paraId="5DC6F00A" w14:textId="77777777" w:rsidR="00C852CB" w:rsidRPr="00C852CB" w:rsidRDefault="00C852CB" w:rsidP="00C852CB">
      <w:pPr>
        <w:spacing w:line="276" w:lineRule="auto"/>
        <w:rPr>
          <w:color w:val="000000"/>
        </w:rPr>
      </w:pPr>
    </w:p>
    <w:p w14:paraId="33F39F34" w14:textId="77777777" w:rsidR="00C852CB" w:rsidRPr="00C852CB" w:rsidRDefault="00C852CB" w:rsidP="00C852CB">
      <w:pPr>
        <w:spacing w:line="276" w:lineRule="auto"/>
        <w:rPr>
          <w:color w:val="000000"/>
        </w:rPr>
      </w:pPr>
      <w:r w:rsidRPr="00C852CB">
        <w:rPr>
          <w:b/>
          <w:bCs/>
          <w:color w:val="000000"/>
        </w:rPr>
        <w:t>Figure 3a</w:t>
      </w:r>
    </w:p>
    <w:p w14:paraId="5288C376" w14:textId="77777777" w:rsidR="00D52717" w:rsidRDefault="00D52717" w:rsidP="00C852CB">
      <w:pPr>
        <w:spacing w:line="276" w:lineRule="auto"/>
        <w:rPr>
          <w:rFonts w:ascii="-webkit-standard" w:hAnsi="-webkit-standard"/>
          <w:color w:val="000000"/>
        </w:rPr>
      </w:pPr>
    </w:p>
    <w:p w14:paraId="49404CD5" w14:textId="373B096C" w:rsidR="00752C7C" w:rsidRDefault="00752C7C" w:rsidP="00BF1519">
      <w:pPr>
        <w:spacing w:line="276" w:lineRule="auto"/>
        <w:rPr>
          <w:rFonts w:ascii="-webkit-standard" w:hAnsi="-webkit-standard"/>
          <w:color w:val="000000"/>
        </w:rPr>
      </w:pPr>
      <w:r>
        <w:rPr>
          <w:noProof/>
        </w:rPr>
        <w:drawing>
          <wp:inline distT="0" distB="0" distL="0" distR="0" wp14:anchorId="6EE54168" wp14:editId="5BBB75F1">
            <wp:extent cx="4877266" cy="3657600"/>
            <wp:effectExtent l="0" t="0" r="12700" b="12700"/>
            <wp:docPr id="3" name="Chart 3">
              <a:extLst xmlns:a="http://schemas.openxmlformats.org/drawingml/2006/main">
                <a:ext uri="{FF2B5EF4-FFF2-40B4-BE49-F238E27FC236}">
                  <a16:creationId xmlns:a16="http://schemas.microsoft.com/office/drawing/2014/main" id="{F831B99A-05E5-D241-9FA5-C6443D57FF3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2E4781" w14:textId="77777777" w:rsidR="00752C7C" w:rsidRPr="00CB4F71" w:rsidRDefault="00752C7C" w:rsidP="00BF1519">
      <w:pPr>
        <w:spacing w:line="276" w:lineRule="auto"/>
        <w:rPr>
          <w:rFonts w:ascii="-webkit-standard" w:hAnsi="-webkit-standard"/>
          <w:color w:val="000000"/>
        </w:rPr>
      </w:pPr>
    </w:p>
    <w:p w14:paraId="7BDCE0E3" w14:textId="77777777" w:rsidR="00C852CB" w:rsidRDefault="00C852CB">
      <w:pPr>
        <w:rPr>
          <w:b/>
          <w:bCs/>
          <w:color w:val="000000"/>
        </w:rPr>
      </w:pPr>
      <w:r>
        <w:rPr>
          <w:b/>
          <w:bCs/>
          <w:color w:val="000000"/>
        </w:rPr>
        <w:br w:type="page"/>
      </w:r>
    </w:p>
    <w:p w14:paraId="31A4AC49" w14:textId="4C4B327E" w:rsidR="00CB4F71" w:rsidRPr="00CB4F71" w:rsidRDefault="00CB4F71" w:rsidP="00BF1519">
      <w:pPr>
        <w:spacing w:line="276" w:lineRule="auto"/>
        <w:rPr>
          <w:rFonts w:ascii="-webkit-standard" w:hAnsi="-webkit-standard"/>
          <w:color w:val="000000"/>
        </w:rPr>
      </w:pPr>
      <w:r w:rsidRPr="00CB4F71">
        <w:rPr>
          <w:b/>
          <w:bCs/>
          <w:color w:val="000000"/>
        </w:rPr>
        <w:lastRenderedPageBreak/>
        <w:t>Figure 3b</w:t>
      </w:r>
    </w:p>
    <w:p w14:paraId="15724A2F" w14:textId="555739E7" w:rsidR="00CB4F71" w:rsidRDefault="00CB4F71" w:rsidP="00BF1519">
      <w:pPr>
        <w:spacing w:line="276" w:lineRule="auto"/>
        <w:rPr>
          <w:rFonts w:ascii="-webkit-standard" w:hAnsi="-webkit-standard"/>
          <w:color w:val="000000"/>
        </w:rPr>
      </w:pPr>
    </w:p>
    <w:p w14:paraId="0E5548EF" w14:textId="66312E18" w:rsidR="00752C7C" w:rsidRDefault="00696911" w:rsidP="00BF1519">
      <w:pPr>
        <w:spacing w:line="276" w:lineRule="auto"/>
        <w:rPr>
          <w:rFonts w:ascii="-webkit-standard" w:hAnsi="-webkit-standard"/>
          <w:color w:val="000000"/>
        </w:rPr>
      </w:pPr>
      <w:r>
        <w:rPr>
          <w:noProof/>
        </w:rPr>
        <w:drawing>
          <wp:inline distT="0" distB="0" distL="0" distR="0" wp14:anchorId="07C239B8" wp14:editId="2456FBA4">
            <wp:extent cx="4876800" cy="3657600"/>
            <wp:effectExtent l="0" t="0" r="12700" b="12700"/>
            <wp:docPr id="4" name="Chart 4">
              <a:extLst xmlns:a="http://schemas.openxmlformats.org/drawingml/2006/main">
                <a:ext uri="{FF2B5EF4-FFF2-40B4-BE49-F238E27FC236}">
                  <a16:creationId xmlns:a16="http://schemas.microsoft.com/office/drawing/2014/main" id="{01F34B08-87E7-034B-A6D4-EA8DD23DCF1D}"/>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E97216" w14:textId="77777777" w:rsidR="00752C7C" w:rsidRPr="00CB4F71" w:rsidRDefault="00752C7C" w:rsidP="00BF1519">
      <w:pPr>
        <w:spacing w:line="276" w:lineRule="auto"/>
        <w:rPr>
          <w:rFonts w:ascii="-webkit-standard" w:hAnsi="-webkit-standard"/>
          <w:color w:val="000000"/>
        </w:rPr>
      </w:pPr>
    </w:p>
    <w:p w14:paraId="69DE4D6B" w14:textId="04957C04" w:rsidR="00C852CB" w:rsidRPr="00C852CB" w:rsidRDefault="00C852CB" w:rsidP="00C852CB">
      <w:pPr>
        <w:spacing w:line="276" w:lineRule="auto"/>
        <w:rPr>
          <w:color w:val="000000"/>
        </w:rPr>
      </w:pPr>
      <w:r w:rsidRPr="00C852CB">
        <w:rPr>
          <w:color w:val="000000"/>
        </w:rPr>
        <w:t xml:space="preserve">However, as </w:t>
      </w:r>
      <w:r w:rsidRPr="00C852CB">
        <w:rPr>
          <w:b/>
          <w:bCs/>
          <w:color w:val="000000"/>
        </w:rPr>
        <w:t>Figures 4</w:t>
      </w:r>
      <w:r w:rsidRPr="00C852CB">
        <w:rPr>
          <w:color w:val="000000"/>
        </w:rPr>
        <w:t xml:space="preserve"> and </w:t>
      </w:r>
      <w:r w:rsidRPr="00C852CB">
        <w:rPr>
          <w:b/>
          <w:bCs/>
          <w:color w:val="000000"/>
        </w:rPr>
        <w:t xml:space="preserve">5 </w:t>
      </w:r>
      <w:r w:rsidRPr="00C852CB">
        <w:rPr>
          <w:color w:val="000000"/>
        </w:rPr>
        <w:t xml:space="preserve">indicate, even for workers within the same IQ scoring range, those who were college graduates tended to earn much more than their non-graduate counterparts, appearing to show the additional value a college degree has. As shown in </w:t>
      </w:r>
      <w:r w:rsidRPr="00C852CB">
        <w:rPr>
          <w:b/>
          <w:bCs/>
          <w:color w:val="000000"/>
        </w:rPr>
        <w:t>Figure 5</w:t>
      </w:r>
      <w:r w:rsidRPr="00C852CB">
        <w:rPr>
          <w:color w:val="000000"/>
        </w:rPr>
        <w:t xml:space="preserve">, there is a positive relationship between a person’s IQ and his/her’s average annual earnings. However, the magnitude of the relationship differed between college graduates and non-graduates. Drawing on the data provided in </w:t>
      </w:r>
      <w:r w:rsidRPr="00C852CB">
        <w:rPr>
          <w:b/>
          <w:bCs/>
          <w:color w:val="000000"/>
        </w:rPr>
        <w:t>Figure 4</w:t>
      </w:r>
      <w:r w:rsidRPr="00C852CB">
        <w:rPr>
          <w:color w:val="000000"/>
        </w:rPr>
        <w:t>, college graduates who scored less than an 80 on the IQ test earned nearly $16,000 more per year than their non-graduate counterparts. This trend continues for those scoring between 80 and 89, as they out-earned non-graduates by over $13,000. On the other side of the spectrum, however, looking at those who scored 120 or higher on the IQ test, college graduates earned nearly $53,000 more than equally intelligent non-graduates! This goes to show the importance of getting a college degree, and its supplementary educational value to natural intellect.</w:t>
      </w:r>
      <w:r w:rsidR="001C3BC1">
        <w:rPr>
          <w:color w:val="000000"/>
        </w:rPr>
        <w:t xml:space="preserve"> </w:t>
      </w:r>
      <w:r>
        <w:rPr>
          <w:b/>
          <w:bCs/>
          <w:color w:val="000000"/>
        </w:rPr>
        <w:br w:type="page"/>
      </w:r>
      <w:r w:rsidRPr="00C852CB">
        <w:rPr>
          <w:b/>
          <w:bCs/>
          <w:color w:val="000000"/>
        </w:rPr>
        <w:lastRenderedPageBreak/>
        <w:t>Figure 4</w:t>
      </w:r>
    </w:p>
    <w:p w14:paraId="06C6F13A" w14:textId="1920F3CC" w:rsidR="00242870" w:rsidRDefault="00242870" w:rsidP="00BF1519">
      <w:pPr>
        <w:spacing w:line="276" w:lineRule="auto"/>
        <w:rPr>
          <w:rFonts w:ascii="-webkit-standard" w:hAnsi="-webkit-standard"/>
          <w:color w:val="000000"/>
        </w:rPr>
      </w:pPr>
    </w:p>
    <w:tbl>
      <w:tblPr>
        <w:tblW w:w="7735" w:type="dxa"/>
        <w:tblLook w:val="04A0" w:firstRow="1" w:lastRow="0" w:firstColumn="1" w:lastColumn="0" w:noHBand="0" w:noVBand="1"/>
      </w:tblPr>
      <w:tblGrid>
        <w:gridCol w:w="2245"/>
        <w:gridCol w:w="2851"/>
        <w:gridCol w:w="2639"/>
      </w:tblGrid>
      <w:tr w:rsidR="00242870" w:rsidRPr="00242870" w14:paraId="25C9E92C" w14:textId="77777777" w:rsidTr="00375073">
        <w:trPr>
          <w:trHeight w:val="303"/>
        </w:trPr>
        <w:tc>
          <w:tcPr>
            <w:tcW w:w="2245" w:type="dxa"/>
            <w:tcBorders>
              <w:top w:val="single" w:sz="4" w:space="0" w:color="auto"/>
              <w:left w:val="single" w:sz="4" w:space="0" w:color="auto"/>
              <w:bottom w:val="nil"/>
              <w:right w:val="nil"/>
            </w:tcBorders>
            <w:shd w:val="clear" w:color="D9E1F2" w:fill="D9E1F2"/>
            <w:noWrap/>
            <w:vAlign w:val="bottom"/>
            <w:hideMark/>
          </w:tcPr>
          <w:p w14:paraId="4CEDC437" w14:textId="77777777" w:rsidR="00242870" w:rsidRPr="00242870" w:rsidRDefault="00242870" w:rsidP="00BF1519">
            <w:pPr>
              <w:spacing w:line="276" w:lineRule="auto"/>
              <w:rPr>
                <w:rFonts w:ascii="Calibri" w:hAnsi="Calibri"/>
                <w:b/>
                <w:bCs/>
                <w:color w:val="000000"/>
              </w:rPr>
            </w:pPr>
            <w:r w:rsidRPr="00242870">
              <w:rPr>
                <w:rFonts w:ascii="Calibri" w:hAnsi="Calibri"/>
                <w:b/>
                <w:bCs/>
                <w:color w:val="000000"/>
              </w:rPr>
              <w:t>Average of earnings</w:t>
            </w:r>
          </w:p>
        </w:tc>
        <w:tc>
          <w:tcPr>
            <w:tcW w:w="2851" w:type="dxa"/>
            <w:tcBorders>
              <w:top w:val="single" w:sz="4" w:space="0" w:color="auto"/>
              <w:left w:val="nil"/>
              <w:bottom w:val="nil"/>
              <w:right w:val="nil"/>
            </w:tcBorders>
            <w:shd w:val="clear" w:color="D9E1F2" w:fill="D9E1F2"/>
            <w:noWrap/>
            <w:vAlign w:val="bottom"/>
            <w:hideMark/>
          </w:tcPr>
          <w:p w14:paraId="588D5D5A" w14:textId="77777777" w:rsidR="00242870" w:rsidRPr="00242870" w:rsidRDefault="00242870" w:rsidP="00BF1519">
            <w:pPr>
              <w:spacing w:line="276" w:lineRule="auto"/>
              <w:rPr>
                <w:rFonts w:ascii="Calibri" w:hAnsi="Calibri"/>
                <w:b/>
                <w:bCs/>
                <w:color w:val="000000"/>
              </w:rPr>
            </w:pPr>
            <w:r w:rsidRPr="00242870">
              <w:rPr>
                <w:rFonts w:ascii="Calibri" w:hAnsi="Calibri"/>
                <w:b/>
                <w:bCs/>
                <w:color w:val="000000"/>
              </w:rPr>
              <w:t>College Graduation Status</w:t>
            </w:r>
          </w:p>
        </w:tc>
        <w:tc>
          <w:tcPr>
            <w:tcW w:w="2639" w:type="dxa"/>
            <w:tcBorders>
              <w:top w:val="single" w:sz="4" w:space="0" w:color="auto"/>
              <w:left w:val="nil"/>
              <w:bottom w:val="nil"/>
              <w:right w:val="single" w:sz="4" w:space="0" w:color="auto"/>
            </w:tcBorders>
            <w:shd w:val="clear" w:color="D9E1F2" w:fill="D9E1F2"/>
            <w:noWrap/>
            <w:vAlign w:val="bottom"/>
            <w:hideMark/>
          </w:tcPr>
          <w:p w14:paraId="42432AB3" w14:textId="77777777" w:rsidR="00242870" w:rsidRPr="00242870" w:rsidRDefault="00242870" w:rsidP="00BF1519">
            <w:pPr>
              <w:spacing w:line="276" w:lineRule="auto"/>
              <w:rPr>
                <w:rFonts w:ascii="Calibri" w:hAnsi="Calibri"/>
                <w:b/>
                <w:bCs/>
                <w:color w:val="000000"/>
              </w:rPr>
            </w:pPr>
          </w:p>
        </w:tc>
      </w:tr>
      <w:tr w:rsidR="00242870" w:rsidRPr="00242870" w14:paraId="5C4BB3E5" w14:textId="77777777" w:rsidTr="00375073">
        <w:trPr>
          <w:trHeight w:val="303"/>
        </w:trPr>
        <w:tc>
          <w:tcPr>
            <w:tcW w:w="2245" w:type="dxa"/>
            <w:tcBorders>
              <w:top w:val="nil"/>
              <w:left w:val="single" w:sz="4" w:space="0" w:color="auto"/>
              <w:bottom w:val="single" w:sz="4" w:space="0" w:color="8EA9DB"/>
              <w:right w:val="nil"/>
            </w:tcBorders>
            <w:shd w:val="clear" w:color="D9E1F2" w:fill="D9E1F2"/>
            <w:noWrap/>
            <w:vAlign w:val="bottom"/>
            <w:hideMark/>
          </w:tcPr>
          <w:p w14:paraId="4E031626" w14:textId="77777777" w:rsidR="00242870" w:rsidRPr="00242870" w:rsidRDefault="00242870" w:rsidP="00BF1519">
            <w:pPr>
              <w:spacing w:line="276" w:lineRule="auto"/>
              <w:rPr>
                <w:rFonts w:ascii="Calibri" w:hAnsi="Calibri"/>
                <w:b/>
                <w:bCs/>
                <w:color w:val="000000"/>
              </w:rPr>
            </w:pPr>
            <w:r w:rsidRPr="00242870">
              <w:rPr>
                <w:rFonts w:ascii="Calibri" w:hAnsi="Calibri"/>
                <w:b/>
                <w:bCs/>
                <w:color w:val="000000"/>
              </w:rPr>
              <w:t>IQ Score Ranges</w:t>
            </w:r>
          </w:p>
        </w:tc>
        <w:tc>
          <w:tcPr>
            <w:tcW w:w="2851" w:type="dxa"/>
            <w:tcBorders>
              <w:top w:val="nil"/>
              <w:left w:val="nil"/>
              <w:bottom w:val="single" w:sz="4" w:space="0" w:color="8EA9DB"/>
              <w:right w:val="nil"/>
            </w:tcBorders>
            <w:shd w:val="clear" w:color="D9E1F2" w:fill="D9E1F2"/>
            <w:noWrap/>
            <w:vAlign w:val="bottom"/>
            <w:hideMark/>
          </w:tcPr>
          <w:p w14:paraId="67758F7C" w14:textId="77777777" w:rsidR="00242870" w:rsidRPr="00242870" w:rsidRDefault="00242870" w:rsidP="00BF1519">
            <w:pPr>
              <w:spacing w:line="276" w:lineRule="auto"/>
              <w:jc w:val="center"/>
              <w:rPr>
                <w:rFonts w:ascii="Calibri" w:hAnsi="Calibri"/>
                <w:b/>
                <w:bCs/>
                <w:color w:val="000000"/>
              </w:rPr>
            </w:pPr>
            <w:r w:rsidRPr="00242870">
              <w:rPr>
                <w:rFonts w:ascii="Calibri" w:hAnsi="Calibri"/>
                <w:b/>
                <w:bCs/>
                <w:color w:val="000000"/>
              </w:rPr>
              <w:t>Non-graduate</w:t>
            </w:r>
          </w:p>
        </w:tc>
        <w:tc>
          <w:tcPr>
            <w:tcW w:w="2639" w:type="dxa"/>
            <w:tcBorders>
              <w:top w:val="nil"/>
              <w:left w:val="nil"/>
              <w:bottom w:val="single" w:sz="4" w:space="0" w:color="8EA9DB"/>
              <w:right w:val="single" w:sz="4" w:space="0" w:color="auto"/>
            </w:tcBorders>
            <w:shd w:val="clear" w:color="D9E1F2" w:fill="D9E1F2"/>
            <w:noWrap/>
            <w:vAlign w:val="bottom"/>
            <w:hideMark/>
          </w:tcPr>
          <w:p w14:paraId="240E8687" w14:textId="77777777" w:rsidR="00242870" w:rsidRPr="00242870" w:rsidRDefault="00242870" w:rsidP="00BF1519">
            <w:pPr>
              <w:spacing w:line="276" w:lineRule="auto"/>
              <w:jc w:val="center"/>
              <w:rPr>
                <w:rFonts w:ascii="Calibri" w:hAnsi="Calibri"/>
                <w:b/>
                <w:bCs/>
                <w:color w:val="000000"/>
              </w:rPr>
            </w:pPr>
            <w:r w:rsidRPr="00242870">
              <w:rPr>
                <w:rFonts w:ascii="Calibri" w:hAnsi="Calibri"/>
                <w:b/>
                <w:bCs/>
                <w:color w:val="000000"/>
              </w:rPr>
              <w:t>Graduate</w:t>
            </w:r>
          </w:p>
        </w:tc>
      </w:tr>
      <w:tr w:rsidR="00242870" w:rsidRPr="00242870" w14:paraId="452F1568" w14:textId="77777777" w:rsidTr="00375073">
        <w:trPr>
          <w:trHeight w:val="303"/>
        </w:trPr>
        <w:tc>
          <w:tcPr>
            <w:tcW w:w="2245" w:type="dxa"/>
            <w:tcBorders>
              <w:top w:val="nil"/>
              <w:left w:val="single" w:sz="4" w:space="0" w:color="auto"/>
              <w:bottom w:val="nil"/>
              <w:right w:val="nil"/>
            </w:tcBorders>
            <w:shd w:val="clear" w:color="auto" w:fill="auto"/>
            <w:noWrap/>
            <w:vAlign w:val="bottom"/>
            <w:hideMark/>
          </w:tcPr>
          <w:p w14:paraId="5F4143A3" w14:textId="77777777" w:rsidR="00242870" w:rsidRPr="00242870" w:rsidRDefault="00242870" w:rsidP="00BF1519">
            <w:pPr>
              <w:spacing w:line="276" w:lineRule="auto"/>
              <w:rPr>
                <w:rFonts w:ascii="Calibri" w:hAnsi="Calibri"/>
              </w:rPr>
            </w:pPr>
            <w:r w:rsidRPr="00242870">
              <w:rPr>
                <w:rFonts w:ascii="Calibri" w:hAnsi="Calibri"/>
              </w:rPr>
              <w:t>Less than 80</w:t>
            </w:r>
          </w:p>
        </w:tc>
        <w:tc>
          <w:tcPr>
            <w:tcW w:w="2851" w:type="dxa"/>
            <w:tcBorders>
              <w:top w:val="nil"/>
              <w:left w:val="nil"/>
              <w:bottom w:val="nil"/>
              <w:right w:val="nil"/>
            </w:tcBorders>
            <w:shd w:val="clear" w:color="auto" w:fill="auto"/>
            <w:noWrap/>
            <w:vAlign w:val="bottom"/>
            <w:hideMark/>
          </w:tcPr>
          <w:p w14:paraId="65CCB02F" w14:textId="77777777" w:rsidR="00242870" w:rsidRPr="00242870" w:rsidRDefault="00242870" w:rsidP="00BF1519">
            <w:pPr>
              <w:spacing w:line="276" w:lineRule="auto"/>
              <w:jc w:val="center"/>
              <w:rPr>
                <w:rFonts w:ascii="Calibri" w:hAnsi="Calibri"/>
              </w:rPr>
            </w:pPr>
            <w:r w:rsidRPr="00242870">
              <w:rPr>
                <w:rFonts w:ascii="Calibri" w:hAnsi="Calibri"/>
              </w:rPr>
              <w:t>$16,475</w:t>
            </w:r>
          </w:p>
        </w:tc>
        <w:tc>
          <w:tcPr>
            <w:tcW w:w="2639" w:type="dxa"/>
            <w:tcBorders>
              <w:top w:val="nil"/>
              <w:left w:val="nil"/>
              <w:bottom w:val="nil"/>
              <w:right w:val="single" w:sz="4" w:space="0" w:color="auto"/>
            </w:tcBorders>
            <w:shd w:val="clear" w:color="auto" w:fill="auto"/>
            <w:noWrap/>
            <w:vAlign w:val="bottom"/>
            <w:hideMark/>
          </w:tcPr>
          <w:p w14:paraId="788FF175" w14:textId="77777777" w:rsidR="00242870" w:rsidRPr="00242870" w:rsidRDefault="00242870" w:rsidP="00BF1519">
            <w:pPr>
              <w:spacing w:line="276" w:lineRule="auto"/>
              <w:jc w:val="center"/>
              <w:rPr>
                <w:rFonts w:ascii="Calibri" w:hAnsi="Calibri"/>
              </w:rPr>
            </w:pPr>
            <w:r w:rsidRPr="00242870">
              <w:rPr>
                <w:rFonts w:ascii="Calibri" w:hAnsi="Calibri"/>
              </w:rPr>
              <w:t>$32,250</w:t>
            </w:r>
          </w:p>
        </w:tc>
      </w:tr>
      <w:tr w:rsidR="00242870" w:rsidRPr="00242870" w14:paraId="7F69CD44" w14:textId="77777777" w:rsidTr="00375073">
        <w:trPr>
          <w:trHeight w:val="303"/>
        </w:trPr>
        <w:tc>
          <w:tcPr>
            <w:tcW w:w="2245" w:type="dxa"/>
            <w:tcBorders>
              <w:top w:val="nil"/>
              <w:left w:val="single" w:sz="4" w:space="0" w:color="auto"/>
              <w:bottom w:val="nil"/>
              <w:right w:val="nil"/>
            </w:tcBorders>
            <w:shd w:val="clear" w:color="auto" w:fill="auto"/>
            <w:noWrap/>
            <w:vAlign w:val="bottom"/>
            <w:hideMark/>
          </w:tcPr>
          <w:p w14:paraId="3A551305" w14:textId="77777777" w:rsidR="00242870" w:rsidRPr="00242870" w:rsidRDefault="00242870" w:rsidP="00BF1519">
            <w:pPr>
              <w:spacing w:line="276" w:lineRule="auto"/>
              <w:rPr>
                <w:rFonts w:ascii="Calibri" w:hAnsi="Calibri"/>
              </w:rPr>
            </w:pPr>
            <w:r w:rsidRPr="00242870">
              <w:rPr>
                <w:rFonts w:ascii="Calibri" w:hAnsi="Calibri"/>
              </w:rPr>
              <w:t>80-89</w:t>
            </w:r>
          </w:p>
        </w:tc>
        <w:tc>
          <w:tcPr>
            <w:tcW w:w="2851" w:type="dxa"/>
            <w:tcBorders>
              <w:top w:val="nil"/>
              <w:left w:val="nil"/>
              <w:bottom w:val="nil"/>
              <w:right w:val="nil"/>
            </w:tcBorders>
            <w:shd w:val="clear" w:color="auto" w:fill="auto"/>
            <w:noWrap/>
            <w:vAlign w:val="bottom"/>
            <w:hideMark/>
          </w:tcPr>
          <w:p w14:paraId="6CC7714B" w14:textId="77777777" w:rsidR="00242870" w:rsidRPr="00242870" w:rsidRDefault="00242870" w:rsidP="00BF1519">
            <w:pPr>
              <w:spacing w:line="276" w:lineRule="auto"/>
              <w:jc w:val="center"/>
              <w:rPr>
                <w:rFonts w:ascii="Calibri" w:hAnsi="Calibri"/>
              </w:rPr>
            </w:pPr>
            <w:r w:rsidRPr="00242870">
              <w:rPr>
                <w:rFonts w:ascii="Calibri" w:hAnsi="Calibri"/>
              </w:rPr>
              <w:t>$24,675</w:t>
            </w:r>
          </w:p>
        </w:tc>
        <w:tc>
          <w:tcPr>
            <w:tcW w:w="2639" w:type="dxa"/>
            <w:tcBorders>
              <w:top w:val="nil"/>
              <w:left w:val="nil"/>
              <w:bottom w:val="nil"/>
              <w:right w:val="single" w:sz="4" w:space="0" w:color="auto"/>
            </w:tcBorders>
            <w:shd w:val="clear" w:color="auto" w:fill="auto"/>
            <w:noWrap/>
            <w:vAlign w:val="bottom"/>
            <w:hideMark/>
          </w:tcPr>
          <w:p w14:paraId="3A523937" w14:textId="77777777" w:rsidR="00242870" w:rsidRPr="00242870" w:rsidRDefault="00242870" w:rsidP="00BF1519">
            <w:pPr>
              <w:spacing w:line="276" w:lineRule="auto"/>
              <w:jc w:val="center"/>
              <w:rPr>
                <w:rFonts w:ascii="Calibri" w:hAnsi="Calibri"/>
              </w:rPr>
            </w:pPr>
            <w:r w:rsidRPr="00242870">
              <w:rPr>
                <w:rFonts w:ascii="Calibri" w:hAnsi="Calibri"/>
              </w:rPr>
              <w:t>$38,182</w:t>
            </w:r>
          </w:p>
        </w:tc>
      </w:tr>
      <w:tr w:rsidR="00242870" w:rsidRPr="00242870" w14:paraId="12221083" w14:textId="77777777" w:rsidTr="00375073">
        <w:trPr>
          <w:trHeight w:val="303"/>
        </w:trPr>
        <w:tc>
          <w:tcPr>
            <w:tcW w:w="2245" w:type="dxa"/>
            <w:tcBorders>
              <w:top w:val="nil"/>
              <w:left w:val="single" w:sz="4" w:space="0" w:color="auto"/>
              <w:bottom w:val="nil"/>
              <w:right w:val="nil"/>
            </w:tcBorders>
            <w:shd w:val="clear" w:color="auto" w:fill="auto"/>
            <w:noWrap/>
            <w:vAlign w:val="bottom"/>
            <w:hideMark/>
          </w:tcPr>
          <w:p w14:paraId="18F4A530" w14:textId="77777777" w:rsidR="00242870" w:rsidRPr="00242870" w:rsidRDefault="00242870" w:rsidP="00BF1519">
            <w:pPr>
              <w:spacing w:line="276" w:lineRule="auto"/>
              <w:rPr>
                <w:rFonts w:ascii="Calibri" w:hAnsi="Calibri"/>
              </w:rPr>
            </w:pPr>
            <w:r w:rsidRPr="00242870">
              <w:rPr>
                <w:rFonts w:ascii="Calibri" w:hAnsi="Calibri"/>
              </w:rPr>
              <w:t>90-99</w:t>
            </w:r>
          </w:p>
        </w:tc>
        <w:tc>
          <w:tcPr>
            <w:tcW w:w="2851" w:type="dxa"/>
            <w:tcBorders>
              <w:top w:val="nil"/>
              <w:left w:val="nil"/>
              <w:bottom w:val="nil"/>
              <w:right w:val="nil"/>
            </w:tcBorders>
            <w:shd w:val="clear" w:color="auto" w:fill="auto"/>
            <w:noWrap/>
            <w:vAlign w:val="bottom"/>
            <w:hideMark/>
          </w:tcPr>
          <w:p w14:paraId="7C71E319" w14:textId="77777777" w:rsidR="00242870" w:rsidRPr="00242870" w:rsidRDefault="00242870" w:rsidP="00BF1519">
            <w:pPr>
              <w:spacing w:line="276" w:lineRule="auto"/>
              <w:jc w:val="center"/>
              <w:rPr>
                <w:rFonts w:ascii="Calibri" w:hAnsi="Calibri"/>
              </w:rPr>
            </w:pPr>
            <w:r w:rsidRPr="00242870">
              <w:rPr>
                <w:rFonts w:ascii="Calibri" w:hAnsi="Calibri"/>
              </w:rPr>
              <w:t>$32,989</w:t>
            </w:r>
          </w:p>
        </w:tc>
        <w:tc>
          <w:tcPr>
            <w:tcW w:w="2639" w:type="dxa"/>
            <w:tcBorders>
              <w:top w:val="nil"/>
              <w:left w:val="nil"/>
              <w:bottom w:val="nil"/>
              <w:right w:val="single" w:sz="4" w:space="0" w:color="auto"/>
            </w:tcBorders>
            <w:shd w:val="clear" w:color="auto" w:fill="auto"/>
            <w:noWrap/>
            <w:vAlign w:val="bottom"/>
            <w:hideMark/>
          </w:tcPr>
          <w:p w14:paraId="38222CEB" w14:textId="77777777" w:rsidR="00242870" w:rsidRPr="00242870" w:rsidRDefault="00242870" w:rsidP="00BF1519">
            <w:pPr>
              <w:spacing w:line="276" w:lineRule="auto"/>
              <w:jc w:val="center"/>
              <w:rPr>
                <w:rFonts w:ascii="Calibri" w:hAnsi="Calibri"/>
              </w:rPr>
            </w:pPr>
            <w:r w:rsidRPr="00242870">
              <w:rPr>
                <w:rFonts w:ascii="Calibri" w:hAnsi="Calibri"/>
              </w:rPr>
              <w:t>$60,519</w:t>
            </w:r>
          </w:p>
        </w:tc>
      </w:tr>
      <w:tr w:rsidR="00242870" w:rsidRPr="00242870" w14:paraId="16D6D606" w14:textId="77777777" w:rsidTr="00375073">
        <w:trPr>
          <w:trHeight w:val="303"/>
        </w:trPr>
        <w:tc>
          <w:tcPr>
            <w:tcW w:w="2245" w:type="dxa"/>
            <w:tcBorders>
              <w:top w:val="nil"/>
              <w:left w:val="single" w:sz="4" w:space="0" w:color="auto"/>
              <w:bottom w:val="nil"/>
              <w:right w:val="nil"/>
            </w:tcBorders>
            <w:shd w:val="clear" w:color="auto" w:fill="auto"/>
            <w:noWrap/>
            <w:vAlign w:val="bottom"/>
            <w:hideMark/>
          </w:tcPr>
          <w:p w14:paraId="3FE01C99" w14:textId="77777777" w:rsidR="00242870" w:rsidRPr="00242870" w:rsidRDefault="00242870" w:rsidP="00BF1519">
            <w:pPr>
              <w:spacing w:line="276" w:lineRule="auto"/>
              <w:rPr>
                <w:rFonts w:ascii="Calibri" w:hAnsi="Calibri"/>
              </w:rPr>
            </w:pPr>
            <w:r w:rsidRPr="00242870">
              <w:rPr>
                <w:rFonts w:ascii="Calibri" w:hAnsi="Calibri"/>
              </w:rPr>
              <w:t>100-109</w:t>
            </w:r>
          </w:p>
        </w:tc>
        <w:tc>
          <w:tcPr>
            <w:tcW w:w="2851" w:type="dxa"/>
            <w:tcBorders>
              <w:top w:val="nil"/>
              <w:left w:val="nil"/>
              <w:bottom w:val="nil"/>
              <w:right w:val="nil"/>
            </w:tcBorders>
            <w:shd w:val="clear" w:color="auto" w:fill="auto"/>
            <w:noWrap/>
            <w:vAlign w:val="bottom"/>
            <w:hideMark/>
          </w:tcPr>
          <w:p w14:paraId="13B5FD77" w14:textId="77777777" w:rsidR="00242870" w:rsidRPr="00242870" w:rsidRDefault="00242870" w:rsidP="00BF1519">
            <w:pPr>
              <w:spacing w:line="276" w:lineRule="auto"/>
              <w:jc w:val="center"/>
              <w:rPr>
                <w:rFonts w:ascii="Calibri" w:hAnsi="Calibri"/>
              </w:rPr>
            </w:pPr>
            <w:r w:rsidRPr="00242870">
              <w:rPr>
                <w:rFonts w:ascii="Calibri" w:hAnsi="Calibri"/>
              </w:rPr>
              <w:t>$39,080</w:t>
            </w:r>
          </w:p>
        </w:tc>
        <w:tc>
          <w:tcPr>
            <w:tcW w:w="2639" w:type="dxa"/>
            <w:tcBorders>
              <w:top w:val="nil"/>
              <w:left w:val="nil"/>
              <w:bottom w:val="nil"/>
              <w:right w:val="single" w:sz="4" w:space="0" w:color="auto"/>
            </w:tcBorders>
            <w:shd w:val="clear" w:color="auto" w:fill="auto"/>
            <w:noWrap/>
            <w:vAlign w:val="bottom"/>
            <w:hideMark/>
          </w:tcPr>
          <w:p w14:paraId="47C97694" w14:textId="77777777" w:rsidR="00242870" w:rsidRPr="00242870" w:rsidRDefault="00242870" w:rsidP="00BF1519">
            <w:pPr>
              <w:spacing w:line="276" w:lineRule="auto"/>
              <w:jc w:val="center"/>
              <w:rPr>
                <w:rFonts w:ascii="Calibri" w:hAnsi="Calibri"/>
              </w:rPr>
            </w:pPr>
            <w:r w:rsidRPr="00242870">
              <w:rPr>
                <w:rFonts w:ascii="Calibri" w:hAnsi="Calibri"/>
              </w:rPr>
              <w:t>$62,686</w:t>
            </w:r>
          </w:p>
        </w:tc>
      </w:tr>
      <w:tr w:rsidR="00242870" w:rsidRPr="00242870" w14:paraId="6258227D" w14:textId="77777777" w:rsidTr="00375073">
        <w:trPr>
          <w:trHeight w:val="303"/>
        </w:trPr>
        <w:tc>
          <w:tcPr>
            <w:tcW w:w="2245" w:type="dxa"/>
            <w:tcBorders>
              <w:top w:val="nil"/>
              <w:left w:val="single" w:sz="4" w:space="0" w:color="auto"/>
              <w:bottom w:val="nil"/>
              <w:right w:val="nil"/>
            </w:tcBorders>
            <w:shd w:val="clear" w:color="auto" w:fill="auto"/>
            <w:noWrap/>
            <w:vAlign w:val="bottom"/>
            <w:hideMark/>
          </w:tcPr>
          <w:p w14:paraId="4ADD57E1" w14:textId="77777777" w:rsidR="00242870" w:rsidRPr="00242870" w:rsidRDefault="00242870" w:rsidP="00BF1519">
            <w:pPr>
              <w:spacing w:line="276" w:lineRule="auto"/>
              <w:rPr>
                <w:rFonts w:ascii="Calibri" w:hAnsi="Calibri"/>
              </w:rPr>
            </w:pPr>
            <w:r w:rsidRPr="00242870">
              <w:rPr>
                <w:rFonts w:ascii="Calibri" w:hAnsi="Calibri"/>
              </w:rPr>
              <w:t>110-119</w:t>
            </w:r>
          </w:p>
        </w:tc>
        <w:tc>
          <w:tcPr>
            <w:tcW w:w="2851" w:type="dxa"/>
            <w:tcBorders>
              <w:top w:val="nil"/>
              <w:left w:val="nil"/>
              <w:bottom w:val="nil"/>
              <w:right w:val="nil"/>
            </w:tcBorders>
            <w:shd w:val="clear" w:color="auto" w:fill="auto"/>
            <w:noWrap/>
            <w:vAlign w:val="bottom"/>
            <w:hideMark/>
          </w:tcPr>
          <w:p w14:paraId="28813951" w14:textId="77777777" w:rsidR="00242870" w:rsidRPr="00242870" w:rsidRDefault="00242870" w:rsidP="00BF1519">
            <w:pPr>
              <w:spacing w:line="276" w:lineRule="auto"/>
              <w:jc w:val="center"/>
              <w:rPr>
                <w:rFonts w:ascii="Calibri" w:hAnsi="Calibri"/>
              </w:rPr>
            </w:pPr>
            <w:r w:rsidRPr="00242870">
              <w:rPr>
                <w:rFonts w:ascii="Calibri" w:hAnsi="Calibri"/>
              </w:rPr>
              <w:t>$45,000</w:t>
            </w:r>
          </w:p>
        </w:tc>
        <w:tc>
          <w:tcPr>
            <w:tcW w:w="2639" w:type="dxa"/>
            <w:tcBorders>
              <w:top w:val="nil"/>
              <w:left w:val="nil"/>
              <w:bottom w:val="nil"/>
              <w:right w:val="single" w:sz="4" w:space="0" w:color="auto"/>
            </w:tcBorders>
            <w:shd w:val="clear" w:color="auto" w:fill="auto"/>
            <w:noWrap/>
            <w:vAlign w:val="bottom"/>
            <w:hideMark/>
          </w:tcPr>
          <w:p w14:paraId="0080A575" w14:textId="77777777" w:rsidR="00242870" w:rsidRPr="00242870" w:rsidRDefault="00242870" w:rsidP="00BF1519">
            <w:pPr>
              <w:spacing w:line="276" w:lineRule="auto"/>
              <w:jc w:val="center"/>
              <w:rPr>
                <w:rFonts w:ascii="Calibri" w:hAnsi="Calibri"/>
              </w:rPr>
            </w:pPr>
            <w:r w:rsidRPr="00242870">
              <w:rPr>
                <w:rFonts w:ascii="Calibri" w:hAnsi="Calibri"/>
              </w:rPr>
              <w:t>$83,018</w:t>
            </w:r>
          </w:p>
        </w:tc>
      </w:tr>
      <w:tr w:rsidR="00242870" w:rsidRPr="00242870" w14:paraId="5169863A" w14:textId="77777777" w:rsidTr="00375073">
        <w:trPr>
          <w:trHeight w:val="303"/>
        </w:trPr>
        <w:tc>
          <w:tcPr>
            <w:tcW w:w="2245" w:type="dxa"/>
            <w:tcBorders>
              <w:top w:val="nil"/>
              <w:left w:val="single" w:sz="4" w:space="0" w:color="auto"/>
              <w:bottom w:val="single" w:sz="4" w:space="0" w:color="auto"/>
              <w:right w:val="nil"/>
            </w:tcBorders>
            <w:shd w:val="clear" w:color="auto" w:fill="auto"/>
            <w:noWrap/>
            <w:vAlign w:val="bottom"/>
            <w:hideMark/>
          </w:tcPr>
          <w:p w14:paraId="6A2FFCF6" w14:textId="77777777" w:rsidR="00242870" w:rsidRPr="00242870" w:rsidRDefault="00242870" w:rsidP="00BF1519">
            <w:pPr>
              <w:spacing w:line="276" w:lineRule="auto"/>
              <w:rPr>
                <w:rFonts w:ascii="Calibri" w:hAnsi="Calibri"/>
              </w:rPr>
            </w:pPr>
            <w:r w:rsidRPr="00242870">
              <w:rPr>
                <w:rFonts w:ascii="Calibri" w:hAnsi="Calibri"/>
              </w:rPr>
              <w:t>120 and up</w:t>
            </w:r>
          </w:p>
        </w:tc>
        <w:tc>
          <w:tcPr>
            <w:tcW w:w="2851" w:type="dxa"/>
            <w:tcBorders>
              <w:top w:val="nil"/>
              <w:left w:val="nil"/>
              <w:bottom w:val="single" w:sz="4" w:space="0" w:color="auto"/>
              <w:right w:val="nil"/>
            </w:tcBorders>
            <w:shd w:val="clear" w:color="auto" w:fill="auto"/>
            <w:noWrap/>
            <w:vAlign w:val="bottom"/>
            <w:hideMark/>
          </w:tcPr>
          <w:p w14:paraId="4E084FB8" w14:textId="77777777" w:rsidR="00242870" w:rsidRPr="00242870" w:rsidRDefault="00242870" w:rsidP="00BF1519">
            <w:pPr>
              <w:spacing w:line="276" w:lineRule="auto"/>
              <w:jc w:val="center"/>
              <w:rPr>
                <w:rFonts w:ascii="Calibri" w:hAnsi="Calibri"/>
              </w:rPr>
            </w:pPr>
            <w:r w:rsidRPr="00242870">
              <w:rPr>
                <w:rFonts w:ascii="Calibri" w:hAnsi="Calibri"/>
              </w:rPr>
              <w:t>$44,391</w:t>
            </w:r>
          </w:p>
        </w:tc>
        <w:tc>
          <w:tcPr>
            <w:tcW w:w="2639" w:type="dxa"/>
            <w:tcBorders>
              <w:top w:val="nil"/>
              <w:left w:val="nil"/>
              <w:bottom w:val="single" w:sz="4" w:space="0" w:color="auto"/>
              <w:right w:val="single" w:sz="4" w:space="0" w:color="auto"/>
            </w:tcBorders>
            <w:shd w:val="clear" w:color="auto" w:fill="auto"/>
            <w:noWrap/>
            <w:vAlign w:val="bottom"/>
            <w:hideMark/>
          </w:tcPr>
          <w:p w14:paraId="2FE72454" w14:textId="77777777" w:rsidR="00242870" w:rsidRPr="00242870" w:rsidRDefault="00242870" w:rsidP="00BF1519">
            <w:pPr>
              <w:spacing w:line="276" w:lineRule="auto"/>
              <w:jc w:val="center"/>
              <w:rPr>
                <w:rFonts w:ascii="Calibri" w:hAnsi="Calibri"/>
              </w:rPr>
            </w:pPr>
            <w:r w:rsidRPr="00242870">
              <w:rPr>
                <w:rFonts w:ascii="Calibri" w:hAnsi="Calibri"/>
              </w:rPr>
              <w:t>$97,340</w:t>
            </w:r>
          </w:p>
        </w:tc>
      </w:tr>
    </w:tbl>
    <w:p w14:paraId="644CBC7B" w14:textId="77777777" w:rsidR="00242870" w:rsidRPr="00CB4F71" w:rsidRDefault="00242870" w:rsidP="00BF1519">
      <w:pPr>
        <w:spacing w:line="276" w:lineRule="auto"/>
        <w:rPr>
          <w:rFonts w:ascii="-webkit-standard" w:hAnsi="-webkit-standard"/>
          <w:color w:val="000000"/>
        </w:rPr>
      </w:pPr>
    </w:p>
    <w:p w14:paraId="3EB9FC8E" w14:textId="77777777" w:rsidR="00CB4F71" w:rsidRPr="00CB4F71" w:rsidRDefault="00CB4F71" w:rsidP="00596E8B">
      <w:pPr>
        <w:spacing w:line="276" w:lineRule="auto"/>
        <w:rPr>
          <w:rFonts w:ascii="-webkit-standard" w:hAnsi="-webkit-standard"/>
          <w:color w:val="000000"/>
        </w:rPr>
      </w:pPr>
      <w:r w:rsidRPr="00CB4F71">
        <w:rPr>
          <w:b/>
          <w:bCs/>
          <w:color w:val="000000"/>
        </w:rPr>
        <w:t>Figure 5</w:t>
      </w:r>
    </w:p>
    <w:p w14:paraId="001AAEDA" w14:textId="575C67C5" w:rsidR="00CB4F71" w:rsidRDefault="00CB4F71" w:rsidP="00BF1519">
      <w:pPr>
        <w:spacing w:line="276" w:lineRule="auto"/>
        <w:rPr>
          <w:rFonts w:ascii="-webkit-standard" w:hAnsi="-webkit-standard"/>
          <w:color w:val="000000"/>
        </w:rPr>
      </w:pPr>
    </w:p>
    <w:p w14:paraId="0F05E11D" w14:textId="7A9A660E" w:rsidR="00242870" w:rsidRDefault="00242870" w:rsidP="00BF1519">
      <w:pPr>
        <w:spacing w:line="276" w:lineRule="auto"/>
        <w:rPr>
          <w:rFonts w:ascii="-webkit-standard" w:hAnsi="-webkit-standard"/>
          <w:color w:val="000000"/>
        </w:rPr>
      </w:pPr>
      <w:r>
        <w:rPr>
          <w:noProof/>
        </w:rPr>
        <w:drawing>
          <wp:inline distT="0" distB="0" distL="0" distR="0" wp14:anchorId="104A1442" wp14:editId="2E56D061">
            <wp:extent cx="4876800" cy="3657600"/>
            <wp:effectExtent l="0" t="0" r="12700" b="12700"/>
            <wp:docPr id="5" name="Chart 5">
              <a:extLst xmlns:a="http://schemas.openxmlformats.org/drawingml/2006/main">
                <a:ext uri="{FF2B5EF4-FFF2-40B4-BE49-F238E27FC236}">
                  <a16:creationId xmlns:a16="http://schemas.microsoft.com/office/drawing/2014/main" id="{947C3D1A-FDE0-014C-8406-2139F3299FDA}"/>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BE9566" w14:textId="77777777" w:rsidR="00242870" w:rsidRPr="00CB4F71" w:rsidRDefault="00242870" w:rsidP="00596E8B">
      <w:pPr>
        <w:spacing w:line="276" w:lineRule="auto"/>
        <w:rPr>
          <w:rFonts w:ascii="-webkit-standard" w:hAnsi="-webkit-standard"/>
          <w:color w:val="000000"/>
        </w:rPr>
      </w:pPr>
    </w:p>
    <w:p w14:paraId="552E4673" w14:textId="77777777" w:rsidR="00596E8B" w:rsidRDefault="00596E8B">
      <w:pPr>
        <w:rPr>
          <w:b/>
          <w:bCs/>
          <w:color w:val="000000"/>
          <w:sz w:val="28"/>
          <w:szCs w:val="28"/>
          <w:u w:val="single"/>
        </w:rPr>
      </w:pPr>
      <w:r>
        <w:rPr>
          <w:b/>
          <w:bCs/>
          <w:color w:val="000000"/>
          <w:sz w:val="28"/>
          <w:szCs w:val="28"/>
          <w:u w:val="single"/>
        </w:rPr>
        <w:br w:type="page"/>
      </w:r>
    </w:p>
    <w:p w14:paraId="63FDDD53" w14:textId="5FE45218" w:rsidR="00596E8B" w:rsidRPr="00596E8B" w:rsidRDefault="00596E8B" w:rsidP="00EE7615">
      <w:pPr>
        <w:spacing w:line="276" w:lineRule="auto"/>
        <w:rPr>
          <w:color w:val="000000"/>
        </w:rPr>
      </w:pPr>
      <w:r w:rsidRPr="00596E8B">
        <w:rPr>
          <w:b/>
          <w:bCs/>
          <w:color w:val="000000"/>
          <w:sz w:val="28"/>
          <w:szCs w:val="28"/>
          <w:u w:val="single"/>
        </w:rPr>
        <w:lastRenderedPageBreak/>
        <w:t>Effects of Weekly Hours Worked on Earnings</w:t>
      </w:r>
    </w:p>
    <w:p w14:paraId="1D2094A4" w14:textId="77777777" w:rsidR="00596E8B" w:rsidRPr="00596E8B" w:rsidRDefault="00596E8B" w:rsidP="00EE7615">
      <w:pPr>
        <w:spacing w:line="276" w:lineRule="auto"/>
        <w:rPr>
          <w:color w:val="000000"/>
        </w:rPr>
      </w:pPr>
    </w:p>
    <w:p w14:paraId="05F3291B" w14:textId="77777777" w:rsidR="00596E8B" w:rsidRPr="00596E8B" w:rsidRDefault="00596E8B" w:rsidP="00EE7615">
      <w:pPr>
        <w:spacing w:line="276" w:lineRule="auto"/>
        <w:rPr>
          <w:color w:val="000000"/>
        </w:rPr>
      </w:pPr>
      <w:r w:rsidRPr="00596E8B">
        <w:rPr>
          <w:color w:val="000000"/>
        </w:rPr>
        <w:t xml:space="preserve">Graduation status and IQ scores may also have an effect on the average number of hours an individual works per week, a key driver of overall annual earnings. </w:t>
      </w:r>
      <w:r w:rsidRPr="00596E8B">
        <w:rPr>
          <w:b/>
          <w:bCs/>
          <w:color w:val="000000"/>
        </w:rPr>
        <w:t>Figure 6</w:t>
      </w:r>
      <w:r w:rsidRPr="00596E8B">
        <w:rPr>
          <w:color w:val="000000"/>
        </w:rPr>
        <w:t xml:space="preserve"> below tracks these variables in relation to hours worked per week. As shown, college graduates tended to work more hours per week than their non-graduate counterparts regardless of IQ scores. This provides an insight into one of the sources of the earnings gap. College graduates may earn higher hourly wages than non-graduates, so coupled with their higher average hours worked per week, college graduates may inherently earn more than non-graduates. </w:t>
      </w:r>
    </w:p>
    <w:p w14:paraId="648F6E31" w14:textId="5C358902" w:rsidR="007845BB" w:rsidRDefault="00596E8B" w:rsidP="00EE7615">
      <w:pPr>
        <w:spacing w:line="276" w:lineRule="auto"/>
      </w:pPr>
      <w:r w:rsidRPr="00596E8B">
        <w:rPr>
          <w:color w:val="000000"/>
        </w:rPr>
        <w:br/>
        <w:t xml:space="preserve">An individual may benefit from being a college graduate in more ways than just having higher annual earnings. Taking IQ scores into consideration, the higher IQ a college graduate had, the fewer hours he/she worked per week, perhaps allowing for more flexibility and relaxation in their schedule. However, in the case of non-graduates, the inverse appeared to be true. As per </w:t>
      </w:r>
      <w:r w:rsidRPr="00596E8B">
        <w:rPr>
          <w:b/>
          <w:bCs/>
          <w:color w:val="000000"/>
        </w:rPr>
        <w:t>Figure 6</w:t>
      </w:r>
      <w:r w:rsidRPr="00596E8B">
        <w:rPr>
          <w:color w:val="000000"/>
        </w:rPr>
        <w:t>, non-graduates whose IQ scores landed in the 120 and above range worked more hours per week than graduates, capping off a trend of rising weekly work hours with rising IQ scores. However, this might also be the effect of having a few outliers in the dataset. For example, a high-IQ student who dropped out of college to pursue a startup idea on a full-time basis would be included in this category, even though he/she is not representative of the entire population of non-graduates with high IQs. As previously suggested in the Descriptive Statistics section above, the data used for this analysis contains outliers which may affect the stated results, thus it is not definitive that non-college-graduates with high IQs work more hours than their college-graduate peers.</w:t>
      </w:r>
    </w:p>
    <w:p w14:paraId="0CD5EAAB" w14:textId="77777777" w:rsidR="007845BB" w:rsidRPr="007845BB" w:rsidRDefault="007845BB" w:rsidP="00EE7615">
      <w:pPr>
        <w:spacing w:line="276" w:lineRule="auto"/>
      </w:pPr>
    </w:p>
    <w:p w14:paraId="43969809" w14:textId="77777777" w:rsidR="007845BB" w:rsidRDefault="007845BB" w:rsidP="00EE7615">
      <w:pPr>
        <w:spacing w:line="276" w:lineRule="auto"/>
        <w:rPr>
          <w:b/>
          <w:bCs/>
          <w:color w:val="000000"/>
        </w:rPr>
      </w:pPr>
      <w:r>
        <w:rPr>
          <w:b/>
          <w:bCs/>
          <w:color w:val="000000"/>
        </w:rPr>
        <w:br w:type="page"/>
      </w:r>
    </w:p>
    <w:p w14:paraId="2EE6F14C" w14:textId="05986CE7" w:rsidR="00CB4F71" w:rsidRDefault="00CB4F71" w:rsidP="00EE7615">
      <w:pPr>
        <w:spacing w:line="276" w:lineRule="auto"/>
        <w:rPr>
          <w:b/>
          <w:bCs/>
          <w:color w:val="000000"/>
        </w:rPr>
      </w:pPr>
      <w:r w:rsidRPr="00CB4F71">
        <w:rPr>
          <w:b/>
          <w:bCs/>
          <w:color w:val="000000"/>
        </w:rPr>
        <w:lastRenderedPageBreak/>
        <w:t>Figure 6</w:t>
      </w:r>
    </w:p>
    <w:p w14:paraId="30B12B93" w14:textId="17E170A9" w:rsidR="00D50B25" w:rsidRDefault="00D50B25" w:rsidP="00BF1519">
      <w:pPr>
        <w:spacing w:line="276" w:lineRule="auto"/>
        <w:rPr>
          <w:b/>
          <w:bCs/>
          <w:color w:val="000000"/>
        </w:rPr>
      </w:pPr>
    </w:p>
    <w:p w14:paraId="3EABB718" w14:textId="4237AD0A" w:rsidR="00D50B25" w:rsidRPr="00CB4F71" w:rsidRDefault="00A34A7C" w:rsidP="00BF1519">
      <w:pPr>
        <w:spacing w:line="276" w:lineRule="auto"/>
        <w:rPr>
          <w:rFonts w:ascii="-webkit-standard" w:hAnsi="-webkit-standard"/>
          <w:color w:val="000000"/>
        </w:rPr>
      </w:pPr>
      <w:r>
        <w:rPr>
          <w:noProof/>
        </w:rPr>
        <w:drawing>
          <wp:inline distT="0" distB="0" distL="0" distR="0" wp14:anchorId="6CF63218" wp14:editId="289DEACC">
            <wp:extent cx="4876800" cy="3657600"/>
            <wp:effectExtent l="0" t="0" r="12700" b="12700"/>
            <wp:docPr id="9" name="Chart 9">
              <a:extLst xmlns:a="http://schemas.openxmlformats.org/drawingml/2006/main">
                <a:ext uri="{FF2B5EF4-FFF2-40B4-BE49-F238E27FC236}">
                  <a16:creationId xmlns:a16="http://schemas.microsoft.com/office/drawing/2014/main" id="{A08E4150-DE36-2042-B822-C42AB164898B}"/>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C3B17F" w14:textId="77777777" w:rsidR="00CB4F71" w:rsidRPr="00CB4F71" w:rsidRDefault="00CB4F71" w:rsidP="00BF1519">
      <w:pPr>
        <w:spacing w:line="276" w:lineRule="auto"/>
        <w:rPr>
          <w:rFonts w:ascii="-webkit-standard" w:hAnsi="-webkit-standard"/>
          <w:color w:val="000000"/>
        </w:rPr>
      </w:pPr>
    </w:p>
    <w:p w14:paraId="6E047135" w14:textId="77777777" w:rsidR="0029033E" w:rsidRDefault="0029033E">
      <w:pPr>
        <w:rPr>
          <w:b/>
          <w:bCs/>
          <w:color w:val="000000"/>
          <w:sz w:val="28"/>
          <w:szCs w:val="28"/>
          <w:u w:val="single"/>
        </w:rPr>
      </w:pPr>
      <w:r>
        <w:rPr>
          <w:b/>
          <w:bCs/>
          <w:color w:val="000000"/>
          <w:sz w:val="28"/>
          <w:szCs w:val="28"/>
          <w:u w:val="single"/>
        </w:rPr>
        <w:br w:type="page"/>
      </w:r>
    </w:p>
    <w:p w14:paraId="1CE661E6" w14:textId="17107926" w:rsidR="0029033E" w:rsidRPr="0029033E" w:rsidRDefault="0029033E" w:rsidP="0029033E">
      <w:pPr>
        <w:spacing w:line="276" w:lineRule="auto"/>
        <w:rPr>
          <w:color w:val="000000"/>
        </w:rPr>
      </w:pPr>
      <w:r w:rsidRPr="0029033E">
        <w:rPr>
          <w:b/>
          <w:bCs/>
          <w:color w:val="000000"/>
          <w:sz w:val="28"/>
          <w:szCs w:val="28"/>
          <w:u w:val="single"/>
        </w:rPr>
        <w:lastRenderedPageBreak/>
        <w:t>Effects of Region on Earnings</w:t>
      </w:r>
    </w:p>
    <w:p w14:paraId="4D467E5C" w14:textId="77777777" w:rsidR="0029033E" w:rsidRPr="0029033E" w:rsidRDefault="0029033E" w:rsidP="0029033E">
      <w:pPr>
        <w:spacing w:line="276" w:lineRule="auto"/>
        <w:rPr>
          <w:color w:val="000000"/>
        </w:rPr>
      </w:pPr>
    </w:p>
    <w:p w14:paraId="246A660A" w14:textId="77777777" w:rsidR="0029033E" w:rsidRPr="0029033E" w:rsidRDefault="0029033E" w:rsidP="0029033E">
      <w:pPr>
        <w:spacing w:line="276" w:lineRule="auto"/>
        <w:rPr>
          <w:color w:val="000000"/>
        </w:rPr>
      </w:pPr>
      <w:r w:rsidRPr="0029033E">
        <w:rPr>
          <w:color w:val="000000"/>
        </w:rPr>
        <w:t xml:space="preserve">When deciding on whether college is a worthwhile investment or not, another factor to consider for prospective college students is the earnings gap by region in the United States. As shown in </w:t>
      </w:r>
      <w:r w:rsidRPr="0029033E">
        <w:rPr>
          <w:b/>
          <w:bCs/>
          <w:color w:val="000000"/>
        </w:rPr>
        <w:t>Figure 7</w:t>
      </w:r>
      <w:r w:rsidRPr="0029033E">
        <w:rPr>
          <w:color w:val="000000"/>
        </w:rPr>
        <w:t>, the earnings gap between college graduates and non-graduates appears to be the greatest in the Northeast, with annual earnings differing by over $56,000. However, in the South and West, the gap was much smaller at nearly $46,000 and $42,000, respectively. This chart of college graduate and non-graduate earnings also appears to show another phenomenon. While the earnings gap was the highest in the Northeast, graduates and non-graduates living in the region earned the most compared to their fellow graduate status peers living in other regions of the country. The reason for this may be because employers in the region have adjusted workers’ salaries to keep up with the higher costs of living associated with the Northeast, regardless of whether workers are college educated or not. </w:t>
      </w:r>
    </w:p>
    <w:p w14:paraId="20D96693" w14:textId="77777777" w:rsidR="0029033E" w:rsidRPr="0029033E" w:rsidRDefault="0029033E" w:rsidP="0029033E">
      <w:pPr>
        <w:spacing w:line="276" w:lineRule="auto"/>
        <w:rPr>
          <w:color w:val="000000"/>
        </w:rPr>
      </w:pPr>
    </w:p>
    <w:p w14:paraId="1DD1216A" w14:textId="01C929F4" w:rsidR="00CB4F71" w:rsidRDefault="0029033E" w:rsidP="00BF1519">
      <w:pPr>
        <w:spacing w:line="276" w:lineRule="auto"/>
        <w:rPr>
          <w:color w:val="000000"/>
        </w:rPr>
      </w:pPr>
      <w:r w:rsidRPr="0029033E">
        <w:rPr>
          <w:b/>
          <w:bCs/>
          <w:color w:val="000000"/>
        </w:rPr>
        <w:t>Figure 7</w:t>
      </w:r>
    </w:p>
    <w:p w14:paraId="1D5B1D0E" w14:textId="4B766A65" w:rsidR="0029033E" w:rsidRDefault="0029033E" w:rsidP="00BF1519">
      <w:pPr>
        <w:spacing w:line="276" w:lineRule="auto"/>
        <w:rPr>
          <w:color w:val="000000"/>
        </w:rPr>
      </w:pPr>
    </w:p>
    <w:p w14:paraId="18DC7A0A" w14:textId="1DD03EAB" w:rsidR="0029033E" w:rsidRDefault="0029033E" w:rsidP="00BF1519">
      <w:pPr>
        <w:spacing w:line="276" w:lineRule="auto"/>
        <w:rPr>
          <w:color w:val="000000"/>
        </w:rPr>
      </w:pPr>
      <w:r>
        <w:rPr>
          <w:noProof/>
        </w:rPr>
        <w:drawing>
          <wp:inline distT="0" distB="0" distL="0" distR="0" wp14:anchorId="5900FB2A" wp14:editId="0E2A6711">
            <wp:extent cx="4873752" cy="3657600"/>
            <wp:effectExtent l="0" t="0" r="15875" b="12700"/>
            <wp:docPr id="6" name="Chart 6">
              <a:extLst xmlns:a="http://schemas.openxmlformats.org/drawingml/2006/main">
                <a:ext uri="{FF2B5EF4-FFF2-40B4-BE49-F238E27FC236}">
                  <a16:creationId xmlns:a16="http://schemas.microsoft.com/office/drawing/2014/main" id="{FD971385-85EC-1246-A2DF-709E047C387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654062" w14:textId="718D8C3D" w:rsidR="00251E33" w:rsidRDefault="00251E33" w:rsidP="00BF1519">
      <w:pPr>
        <w:spacing w:line="276" w:lineRule="auto"/>
        <w:rPr>
          <w:color w:val="000000"/>
        </w:rPr>
      </w:pPr>
    </w:p>
    <w:p w14:paraId="23DB30FD" w14:textId="77777777" w:rsidR="0029033E" w:rsidRDefault="0029033E">
      <w:pPr>
        <w:rPr>
          <w:b/>
          <w:bCs/>
          <w:color w:val="000000"/>
          <w:sz w:val="28"/>
          <w:szCs w:val="28"/>
          <w:u w:val="single"/>
        </w:rPr>
      </w:pPr>
      <w:r>
        <w:rPr>
          <w:b/>
          <w:bCs/>
          <w:color w:val="000000"/>
          <w:sz w:val="28"/>
          <w:szCs w:val="28"/>
          <w:u w:val="single"/>
        </w:rPr>
        <w:br w:type="page"/>
      </w:r>
    </w:p>
    <w:p w14:paraId="54460C89" w14:textId="767C9132" w:rsidR="0029033E" w:rsidRPr="0029033E" w:rsidRDefault="0029033E" w:rsidP="00C56B97">
      <w:pPr>
        <w:spacing w:line="276" w:lineRule="auto"/>
        <w:rPr>
          <w:color w:val="000000"/>
        </w:rPr>
      </w:pPr>
      <w:r w:rsidRPr="0029033E">
        <w:rPr>
          <w:b/>
          <w:bCs/>
          <w:color w:val="000000"/>
          <w:sz w:val="28"/>
          <w:szCs w:val="28"/>
          <w:u w:val="single"/>
        </w:rPr>
        <w:lastRenderedPageBreak/>
        <w:t>Isolating the Monetary Effect of Being a College Graduate</w:t>
      </w:r>
    </w:p>
    <w:p w14:paraId="1E5BC0AF" w14:textId="77777777" w:rsidR="0029033E" w:rsidRPr="0029033E" w:rsidRDefault="0029033E" w:rsidP="00C56B97">
      <w:pPr>
        <w:spacing w:line="276" w:lineRule="auto"/>
        <w:rPr>
          <w:color w:val="000000"/>
        </w:rPr>
      </w:pPr>
    </w:p>
    <w:p w14:paraId="40FBB60B" w14:textId="77777777" w:rsidR="0029033E" w:rsidRPr="0029033E" w:rsidRDefault="0029033E" w:rsidP="00C56B97">
      <w:pPr>
        <w:spacing w:line="276" w:lineRule="auto"/>
        <w:rPr>
          <w:color w:val="000000"/>
        </w:rPr>
      </w:pPr>
      <w:r w:rsidRPr="0029033E">
        <w:rPr>
          <w:color w:val="000000"/>
        </w:rPr>
        <w:t>From our above analysis of the dataset and its characteristics, we have explored potential factors which we believe help explain the difference in average annual earnings between college graduates and non-graduates. Now, for the second part of this report, we will dive deeper into these factors to quantify the impact each variable has on the earnings gap and attempt to isolate the true effect of college graduation on a person’s annual earnings. </w:t>
      </w:r>
    </w:p>
    <w:p w14:paraId="13838DE1" w14:textId="77777777" w:rsidR="0029033E" w:rsidRPr="0029033E" w:rsidRDefault="0029033E" w:rsidP="00C56B97">
      <w:pPr>
        <w:spacing w:line="276" w:lineRule="auto"/>
        <w:rPr>
          <w:color w:val="000000"/>
        </w:rPr>
      </w:pPr>
    </w:p>
    <w:p w14:paraId="38E6A7F6" w14:textId="77777777" w:rsidR="0029033E" w:rsidRPr="0029033E" w:rsidRDefault="0029033E" w:rsidP="00C56B97">
      <w:pPr>
        <w:spacing w:line="276" w:lineRule="auto"/>
        <w:rPr>
          <w:color w:val="000000"/>
        </w:rPr>
      </w:pPr>
      <w:r w:rsidRPr="0029033E">
        <w:rPr>
          <w:b/>
          <w:bCs/>
          <w:color w:val="000000"/>
          <w:u w:val="single"/>
        </w:rPr>
        <w:t>Simple Regression Model</w:t>
      </w:r>
    </w:p>
    <w:p w14:paraId="03C65D31" w14:textId="77777777" w:rsidR="0029033E" w:rsidRPr="0029033E" w:rsidRDefault="0029033E" w:rsidP="00C56B97">
      <w:pPr>
        <w:spacing w:line="276" w:lineRule="auto"/>
      </w:pPr>
      <w:r w:rsidRPr="0029033E">
        <w:rPr>
          <w:color w:val="000000"/>
        </w:rPr>
        <w:br/>
        <w:t>First, we ran a simple regression (</w:t>
      </w:r>
      <w:r w:rsidRPr="0029033E">
        <w:rPr>
          <w:b/>
          <w:bCs/>
          <w:color w:val="000000"/>
        </w:rPr>
        <w:t>Regression</w:t>
      </w:r>
      <w:r w:rsidRPr="0029033E">
        <w:rPr>
          <w:color w:val="000000"/>
        </w:rPr>
        <w:t xml:space="preserve"> </w:t>
      </w:r>
      <w:r w:rsidRPr="0029033E">
        <w:rPr>
          <w:b/>
          <w:bCs/>
          <w:color w:val="000000"/>
        </w:rPr>
        <w:t>A</w:t>
      </w:r>
      <w:r w:rsidRPr="0029033E">
        <w:rPr>
          <w:color w:val="000000"/>
        </w:rPr>
        <w:t xml:space="preserve"> in </w:t>
      </w:r>
      <w:r w:rsidRPr="0029033E">
        <w:rPr>
          <w:b/>
          <w:bCs/>
          <w:color w:val="000000"/>
        </w:rPr>
        <w:t>Figure 8</w:t>
      </w:r>
      <w:r w:rsidRPr="0029033E">
        <w:rPr>
          <w:color w:val="000000"/>
        </w:rPr>
        <w:t>) to determine the effect being a college graduate has on a person’s average earnings. As we expected (and actually proven earlier in the Descriptive Statistics section of this report), the average difference in earnings between college graduates and non-graduates came out to be roughly $48,269. However, the Adjusted R-Squared statistic for this regression was around 0.14, suggesting that this regression only explained approximately 14% of the variation in annual earnings, clearly indicating that other variables besides college graduation status affect a person’s annual earnings.</w:t>
      </w:r>
    </w:p>
    <w:p w14:paraId="5E49ED67" w14:textId="2AF31D46" w:rsidR="0029033E" w:rsidRDefault="0029033E" w:rsidP="00C56B97">
      <w:pPr>
        <w:spacing w:line="276" w:lineRule="auto"/>
        <w:rPr>
          <w:rFonts w:ascii="-webkit-standard" w:hAnsi="-webkit-standard"/>
          <w:color w:val="000000"/>
        </w:rPr>
      </w:pPr>
    </w:p>
    <w:p w14:paraId="5A21CDB6" w14:textId="77777777" w:rsidR="0029033E" w:rsidRPr="0029033E" w:rsidRDefault="0029033E" w:rsidP="00C56B97">
      <w:pPr>
        <w:spacing w:line="276" w:lineRule="auto"/>
        <w:rPr>
          <w:color w:val="000000"/>
        </w:rPr>
      </w:pPr>
      <w:r w:rsidRPr="0029033E">
        <w:rPr>
          <w:b/>
          <w:bCs/>
          <w:color w:val="000000"/>
          <w:u w:val="single"/>
        </w:rPr>
        <w:t>First Multiple Regression Model</w:t>
      </w:r>
    </w:p>
    <w:p w14:paraId="5DDDA8D7" w14:textId="77777777" w:rsidR="0029033E" w:rsidRPr="0029033E" w:rsidRDefault="0029033E" w:rsidP="00C56B97">
      <w:pPr>
        <w:spacing w:line="276" w:lineRule="auto"/>
        <w:rPr>
          <w:color w:val="000000"/>
        </w:rPr>
      </w:pPr>
    </w:p>
    <w:p w14:paraId="1BA32543" w14:textId="77777777" w:rsidR="0029033E" w:rsidRPr="0029033E" w:rsidRDefault="0029033E" w:rsidP="00C56B97">
      <w:pPr>
        <w:spacing w:line="276" w:lineRule="auto"/>
        <w:rPr>
          <w:color w:val="000000"/>
        </w:rPr>
      </w:pPr>
      <w:r w:rsidRPr="0029033E">
        <w:rPr>
          <w:color w:val="000000"/>
        </w:rPr>
        <w:t>Next, we included new variable tests into the regression model (</w:t>
      </w:r>
      <w:r w:rsidRPr="0029033E">
        <w:rPr>
          <w:b/>
          <w:bCs/>
          <w:color w:val="000000"/>
        </w:rPr>
        <w:t>Regression B</w:t>
      </w:r>
      <w:r w:rsidRPr="0029033E">
        <w:rPr>
          <w:color w:val="000000"/>
        </w:rPr>
        <w:t xml:space="preserve"> in </w:t>
      </w:r>
      <w:r w:rsidRPr="0029033E">
        <w:rPr>
          <w:b/>
          <w:bCs/>
          <w:color w:val="000000"/>
        </w:rPr>
        <w:t>Figure 8</w:t>
      </w:r>
      <w:r w:rsidRPr="0029033E">
        <w:rPr>
          <w:color w:val="000000"/>
        </w:rPr>
        <w:t xml:space="preserve">) in an attempt to account for more variation in annual earnings. First, we included a test for gender, as repeated research has shown that males typically earn more than females – a phenomenon known as the gender pay gap. We also included a test for determining the on-average effect of a person living in a rural area on earnings. Adding in these variables into the simple regression introduced in </w:t>
      </w:r>
      <w:r w:rsidRPr="0029033E">
        <w:rPr>
          <w:b/>
          <w:bCs/>
          <w:color w:val="000000"/>
        </w:rPr>
        <w:t xml:space="preserve">Regression A </w:t>
      </w:r>
      <w:r w:rsidRPr="0029033E">
        <w:rPr>
          <w:color w:val="000000"/>
        </w:rPr>
        <w:t xml:space="preserve">decreased the on-average effect of a person being a college graduate slightly, showing that the College_Graduate coefficient in the simple regression may have been biased because it incorporated the effects of other variables that were omitted from the regression. However, with these new variables now factored into the regression model, some of the omitted variable bias present was removed. Despite the addition of the Male and Rural variables into the regression model, </w:t>
      </w:r>
      <w:r w:rsidRPr="0029033E">
        <w:rPr>
          <w:b/>
          <w:bCs/>
          <w:color w:val="000000"/>
        </w:rPr>
        <w:t>Regression B</w:t>
      </w:r>
      <w:r w:rsidRPr="0029033E">
        <w:rPr>
          <w:color w:val="000000"/>
        </w:rPr>
        <w:t xml:space="preserve"> still explained approximately 20% of the variation in earnings, suggesting further variables needed to be added into the multiple regression model to find the true isolated effect of college graduation on earnings. </w:t>
      </w:r>
    </w:p>
    <w:p w14:paraId="5CD9370E" w14:textId="77777777" w:rsidR="0029033E" w:rsidRPr="0029033E" w:rsidRDefault="0029033E" w:rsidP="00C56B97">
      <w:pPr>
        <w:spacing w:line="276" w:lineRule="auto"/>
        <w:rPr>
          <w:color w:val="000000"/>
        </w:rPr>
      </w:pPr>
    </w:p>
    <w:p w14:paraId="14220B60" w14:textId="77777777" w:rsidR="0029033E" w:rsidRPr="0029033E" w:rsidRDefault="0029033E" w:rsidP="00C56B97">
      <w:pPr>
        <w:spacing w:line="276" w:lineRule="auto"/>
        <w:rPr>
          <w:color w:val="000000"/>
        </w:rPr>
      </w:pPr>
      <w:r w:rsidRPr="0029033E">
        <w:rPr>
          <w:b/>
          <w:bCs/>
          <w:color w:val="000000"/>
          <w:u w:val="single"/>
        </w:rPr>
        <w:t>Second Multiple Regression Model</w:t>
      </w:r>
    </w:p>
    <w:p w14:paraId="791B1BF1" w14:textId="7F9BDD3A" w:rsidR="0029033E" w:rsidRPr="0029033E" w:rsidRDefault="0029033E" w:rsidP="00C56B97">
      <w:pPr>
        <w:spacing w:line="276" w:lineRule="auto"/>
      </w:pPr>
      <w:r w:rsidRPr="0029033E">
        <w:rPr>
          <w:color w:val="000000"/>
        </w:rPr>
        <w:br/>
        <w:t>Following our addition of the Male and Rural variables, for our next regression model (</w:t>
      </w:r>
      <w:r w:rsidRPr="0029033E">
        <w:rPr>
          <w:b/>
          <w:bCs/>
          <w:color w:val="000000"/>
        </w:rPr>
        <w:t>Regression C</w:t>
      </w:r>
      <w:r w:rsidRPr="0029033E">
        <w:rPr>
          <w:color w:val="000000"/>
        </w:rPr>
        <w:t xml:space="preserve"> in </w:t>
      </w:r>
      <w:r w:rsidRPr="0029033E">
        <w:rPr>
          <w:b/>
          <w:bCs/>
          <w:color w:val="000000"/>
        </w:rPr>
        <w:t>Figure 8</w:t>
      </w:r>
      <w:r w:rsidRPr="0029033E">
        <w:rPr>
          <w:color w:val="000000"/>
        </w:rPr>
        <w:t xml:space="preserve">), we also included consideration for which IQ category individuals tested into, as we previously suggested that there may be an association between a person’s cognitive ability and average annual earnings. The reason we categorized IQ scores into ranges of 10 is that we recognized that minute differences in individual IQ scores may not indicate significant differences in cognitive ability, whereas nearly </w:t>
      </w:r>
      <w:r w:rsidR="0063405B" w:rsidRPr="0029033E">
        <w:rPr>
          <w:color w:val="000000"/>
        </w:rPr>
        <w:t>double-digit</w:t>
      </w:r>
      <w:r w:rsidRPr="0029033E">
        <w:rPr>
          <w:color w:val="000000"/>
        </w:rPr>
        <w:t xml:space="preserve"> differences may provide a better indication of any differences in earnings. With the inclusion of IQ categories, the </w:t>
      </w:r>
      <w:r w:rsidRPr="0029033E">
        <w:rPr>
          <w:color w:val="000000"/>
        </w:rPr>
        <w:lastRenderedPageBreak/>
        <w:t>College_Graduate coefficient reduced significantly, confirming that there was omitted variable bias in our earlier regression models. From the coefficients of this regression, we can interpret that, if a person is a college graduate, he/she will earn $33,757.50 more on average compared to a non-graduate, holding all other variables such as gender, IQ category, and rural residence constant. Given that the coefficient is statistically significant (with a t-statistic larger than 2 in magnitude), we are 95% confident that a person’s college graduation status has an effect other than $0 on their annual earnings, and that this relationship was not a chance occurrence. Similarly, if a person is male, they earn $27,937.41 more on average than a female would, holding all other variables constant. Since this too is statistically significant, we can be 95% confident that a person’s gender has an effect other than $0 on their annual earnings. On the other hand, our regression model states that if a person lives in a rural area, they will earn $2,357.59 less on average, holding all other variables constant. However, this value is not statistically significant because $0 falls within two standard deviations of the coefficient. We cannot be 95% confident that a person’s rural area of residence has an effect other than $0 on their annual earnings, thus suggesting this relationship may be a chance occurrence. This is verified by the rural variable’s t-statistic value being less than two. With this information, we now recognize that rural residency status may not be a significant variable in explaining the earnings gap between college graduates and non-graduates, and we will not consider including it in future regression models to explain the college graduation earnings gap.</w:t>
      </w:r>
    </w:p>
    <w:p w14:paraId="4BB6C538" w14:textId="4A84CA29" w:rsidR="0029033E" w:rsidRDefault="0029033E" w:rsidP="00C56B97">
      <w:pPr>
        <w:spacing w:line="276" w:lineRule="auto"/>
        <w:rPr>
          <w:rFonts w:ascii="-webkit-standard" w:hAnsi="-webkit-standard"/>
          <w:color w:val="000000"/>
        </w:rPr>
      </w:pPr>
    </w:p>
    <w:p w14:paraId="31D88357" w14:textId="77777777" w:rsidR="0043760B" w:rsidRPr="0043760B" w:rsidRDefault="0043760B" w:rsidP="00C56B97">
      <w:pPr>
        <w:spacing w:line="276" w:lineRule="auto"/>
        <w:rPr>
          <w:color w:val="000000"/>
        </w:rPr>
      </w:pPr>
      <w:r w:rsidRPr="0043760B">
        <w:rPr>
          <w:color w:val="000000"/>
        </w:rPr>
        <w:t xml:space="preserve">Special attention needs to be placed in analyzing </w:t>
      </w:r>
      <w:r w:rsidRPr="0043760B">
        <w:rPr>
          <w:b/>
          <w:bCs/>
          <w:color w:val="000000"/>
        </w:rPr>
        <w:t>Regression C</w:t>
      </w:r>
      <w:r w:rsidRPr="0043760B">
        <w:rPr>
          <w:color w:val="000000"/>
        </w:rPr>
        <w:t>’s IQ category coefficients. If a person’s IQ measures below an 80, on average, they are expected to earn $20,924.80 less than those with IQs in the average range of 100 to 109, holding all other variables constant. Similarly, if a person’s IQ is within the 80 to 89 range, they are expected to earn $14,098.31 less than a person with an IQ in the range 100 to 109, holding all else constant. On the other side of the spectrum, if a person’s IQ is in the range 110 to 119 (above average), they are expected to earn $9,059.94 more on average than a person whose IQ is in the 100 to 109 range, holding all else constant. This difference more than doubles when discussing the earnings of individuals whose IQs are above 120. On average, people with an IQ greater than 120 earn $20,478.31 more than those with IQs in the 100 to 109 range, holding all other variables constant. Since each of these coefficients is statistically significant, we can say with 95% confidence that having an IQ at least 10 points away from the average (100) has an effect other than $0 on a person’s annual earnings. The same cannot be said for people with an IQ score in the range of 90 to 99, because on average, they earn $2,729.89 less than those with an IQ score between 100 and 109. Since $0 falls within two standard deviations of this value and the coefficient’s t-statistic is less than two in magnitude, we cannot say with 95% confidence that having an IQ score in the range of 90 to 99 has an effect other than $0 on a person’s annual earnings. This seems to indicate that those with higher-than-average IQ scores tend to earn more on average, while those with lower-than- average IQ scores tend to earn less on average, holding all other variables constant. </w:t>
      </w:r>
    </w:p>
    <w:p w14:paraId="5A336D2E" w14:textId="77777777" w:rsidR="0043760B" w:rsidRPr="0043760B" w:rsidRDefault="0043760B" w:rsidP="00C56B97">
      <w:pPr>
        <w:spacing w:line="276" w:lineRule="auto"/>
        <w:rPr>
          <w:color w:val="000000"/>
        </w:rPr>
      </w:pPr>
    </w:p>
    <w:p w14:paraId="440C43C9" w14:textId="77777777" w:rsidR="0043760B" w:rsidRDefault="0043760B" w:rsidP="00C56B97">
      <w:pPr>
        <w:spacing w:line="276" w:lineRule="auto"/>
        <w:rPr>
          <w:b/>
          <w:bCs/>
          <w:color w:val="000000"/>
          <w:u w:val="single"/>
        </w:rPr>
      </w:pPr>
      <w:r>
        <w:rPr>
          <w:b/>
          <w:bCs/>
          <w:color w:val="000000"/>
          <w:u w:val="single"/>
        </w:rPr>
        <w:br w:type="page"/>
      </w:r>
    </w:p>
    <w:p w14:paraId="01F06FFB" w14:textId="3D997AE4" w:rsidR="0043760B" w:rsidRPr="0043760B" w:rsidRDefault="0043760B" w:rsidP="00C56B97">
      <w:pPr>
        <w:spacing w:line="276" w:lineRule="auto"/>
        <w:rPr>
          <w:color w:val="000000"/>
        </w:rPr>
      </w:pPr>
      <w:r w:rsidRPr="0043760B">
        <w:rPr>
          <w:b/>
          <w:bCs/>
          <w:color w:val="000000"/>
          <w:u w:val="single"/>
        </w:rPr>
        <w:lastRenderedPageBreak/>
        <w:t>Omitted Variable Bias in the College_Graduate coefficient</w:t>
      </w:r>
    </w:p>
    <w:p w14:paraId="0004A3BD" w14:textId="77777777" w:rsidR="0043760B" w:rsidRPr="0043760B" w:rsidRDefault="0043760B" w:rsidP="00C56B97">
      <w:pPr>
        <w:spacing w:line="276" w:lineRule="auto"/>
        <w:rPr>
          <w:color w:val="000000"/>
        </w:rPr>
      </w:pPr>
    </w:p>
    <w:p w14:paraId="738857D8" w14:textId="77777777" w:rsidR="002C41BF" w:rsidRDefault="0043760B" w:rsidP="00C56B97">
      <w:pPr>
        <w:spacing w:line="276" w:lineRule="auto"/>
        <w:rPr>
          <w:color w:val="000000"/>
        </w:rPr>
      </w:pPr>
      <w:r w:rsidRPr="0043760B">
        <w:rPr>
          <w:color w:val="000000"/>
        </w:rPr>
        <w:t xml:space="preserve">Analysis of </w:t>
      </w:r>
      <w:r w:rsidRPr="0043760B">
        <w:rPr>
          <w:b/>
          <w:bCs/>
          <w:color w:val="000000"/>
        </w:rPr>
        <w:t>Regression C</w:t>
      </w:r>
      <w:r w:rsidRPr="0043760B">
        <w:rPr>
          <w:color w:val="000000"/>
        </w:rPr>
        <w:t xml:space="preserve">’s IQ category coefficients also confirms what was stated earlier in this report on the relationship between a person’s intellect and annual earnings. While a causal relationship cannot be established between higher IQ scores and higher earnings, it can be suggested that those with higher IQ scores may work in more mentally intensive industries which may also tend to pay workers more. This sheds light on the relationship between cognitive ability, college attendance, and earnings. It may be that those with better cognitive ability (higher IQ scores) are more likely than their less-cognitively-gifted peers to attend college, and similarly, it may be that those with higher cognitive ability are more likely than others to attain higher earnings. This explains why the College_Graduate coefficient dropped significantly after the inclusion of IQ categories into the regression. Before, in </w:t>
      </w:r>
      <w:r w:rsidRPr="0043760B">
        <w:rPr>
          <w:b/>
          <w:bCs/>
          <w:color w:val="000000"/>
        </w:rPr>
        <w:t>Regressions A</w:t>
      </w:r>
      <w:r w:rsidRPr="0043760B">
        <w:rPr>
          <w:color w:val="000000"/>
        </w:rPr>
        <w:t xml:space="preserve"> and </w:t>
      </w:r>
      <w:r w:rsidRPr="0043760B">
        <w:rPr>
          <w:b/>
          <w:bCs/>
          <w:color w:val="000000"/>
        </w:rPr>
        <w:t>B</w:t>
      </w:r>
      <w:r w:rsidRPr="0043760B">
        <w:rPr>
          <w:color w:val="000000"/>
        </w:rPr>
        <w:t>, it appears that the College_Graduate coefficient not only included the direct effect of graduating from college on a person’s average annual earnings, but also incorporated the indirect effects of a person’s IQ category on their average earnings, since the background relationship suggests that cognitive abilities affect a person’s earnings. Once the IQ categories were added into the regression, the omitted variable bias present in earlier regressions became clear, showing that we were overestimating the true effect of being a college graduate on annual earnings. </w:t>
      </w:r>
    </w:p>
    <w:p w14:paraId="7A1458E3" w14:textId="77777777" w:rsidR="002C41BF" w:rsidRDefault="002C41BF" w:rsidP="00C56B97">
      <w:pPr>
        <w:spacing w:line="276" w:lineRule="auto"/>
        <w:rPr>
          <w:color w:val="000000"/>
        </w:rPr>
      </w:pPr>
    </w:p>
    <w:p w14:paraId="66D11B60" w14:textId="77777777" w:rsidR="00EA2D10" w:rsidRDefault="00EA2D10">
      <w:pPr>
        <w:spacing w:after="160" w:line="259" w:lineRule="auto"/>
        <w:rPr>
          <w:b/>
          <w:bCs/>
          <w:color w:val="000000"/>
        </w:rPr>
      </w:pPr>
      <w:r>
        <w:rPr>
          <w:b/>
          <w:bCs/>
          <w:color w:val="000000"/>
        </w:rPr>
        <w:br w:type="page"/>
      </w:r>
    </w:p>
    <w:p w14:paraId="7D014C5C" w14:textId="6B9FA6DB" w:rsidR="002C41BF" w:rsidRDefault="002C41BF" w:rsidP="00D117DA">
      <w:pPr>
        <w:spacing w:line="276" w:lineRule="auto"/>
        <w:rPr>
          <w:color w:val="000000"/>
        </w:rPr>
      </w:pPr>
      <w:r>
        <w:rPr>
          <w:b/>
          <w:bCs/>
          <w:color w:val="000000"/>
        </w:rPr>
        <w:lastRenderedPageBreak/>
        <w:t>Figure 8</w:t>
      </w:r>
    </w:p>
    <w:tbl>
      <w:tblPr>
        <w:tblW w:w="8280" w:type="dxa"/>
        <w:tblLayout w:type="fixed"/>
        <w:tblLook w:val="04A0" w:firstRow="1" w:lastRow="0" w:firstColumn="1" w:lastColumn="0" w:noHBand="0" w:noVBand="1"/>
      </w:tblPr>
      <w:tblGrid>
        <w:gridCol w:w="2070"/>
        <w:gridCol w:w="1440"/>
        <w:gridCol w:w="1623"/>
        <w:gridCol w:w="1527"/>
        <w:gridCol w:w="1620"/>
      </w:tblGrid>
      <w:tr w:rsidR="00D117DA" w:rsidRPr="002C41BF" w14:paraId="23972965" w14:textId="77777777" w:rsidTr="00D00A27">
        <w:trPr>
          <w:trHeight w:val="300"/>
        </w:trPr>
        <w:tc>
          <w:tcPr>
            <w:tcW w:w="8280" w:type="dxa"/>
            <w:gridSpan w:val="5"/>
            <w:tcBorders>
              <w:bottom w:val="single" w:sz="4" w:space="0" w:color="auto"/>
            </w:tcBorders>
            <w:shd w:val="clear" w:color="auto" w:fill="auto"/>
            <w:noWrap/>
            <w:vAlign w:val="center"/>
          </w:tcPr>
          <w:p w14:paraId="2F2E704E" w14:textId="5B582672" w:rsidR="00D117DA" w:rsidRPr="002C41BF" w:rsidRDefault="00D117DA" w:rsidP="002C41BF">
            <w:pPr>
              <w:jc w:val="center"/>
              <w:rPr>
                <w:rFonts w:ascii="Calibri" w:hAnsi="Calibri"/>
                <w:b/>
                <w:bCs/>
              </w:rPr>
            </w:pPr>
            <w:r>
              <w:rPr>
                <w:rFonts w:ascii="Calibri" w:hAnsi="Calibri"/>
                <w:b/>
                <w:bCs/>
              </w:rPr>
              <w:t>Regressions of College Graduate Status on Earnings</w:t>
            </w:r>
            <w:r w:rsidR="00F00738">
              <w:rPr>
                <w:rFonts w:ascii="Calibri" w:hAnsi="Calibri"/>
                <w:b/>
                <w:bCs/>
              </w:rPr>
              <w:t>*</w:t>
            </w:r>
          </w:p>
        </w:tc>
      </w:tr>
      <w:tr w:rsidR="00EA2D10" w:rsidRPr="002C41BF" w14:paraId="41C52D36" w14:textId="77777777" w:rsidTr="00EA2D10">
        <w:trPr>
          <w:trHeight w:val="300"/>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F4775" w14:textId="77777777" w:rsidR="002C41BF" w:rsidRPr="002C41BF" w:rsidRDefault="002C41BF" w:rsidP="002C41BF">
            <w:pPr>
              <w:jc w:val="center"/>
              <w:rPr>
                <w:rFonts w:ascii="Calibri" w:hAnsi="Calibri"/>
              </w:rPr>
            </w:pPr>
            <w:r w:rsidRPr="002C41BF">
              <w:rPr>
                <w:rFonts w:ascii="Calibri" w:hAnsi="Calibri"/>
              </w:rPr>
              <w:t> </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35952B3F" w14:textId="77777777" w:rsidR="002C41BF" w:rsidRPr="002C41BF" w:rsidRDefault="002C41BF" w:rsidP="002C41BF">
            <w:pPr>
              <w:jc w:val="center"/>
              <w:rPr>
                <w:rFonts w:ascii="Calibri" w:hAnsi="Calibri"/>
                <w:b/>
                <w:bCs/>
              </w:rPr>
            </w:pPr>
            <w:r w:rsidRPr="002C41BF">
              <w:rPr>
                <w:rFonts w:ascii="Calibri" w:hAnsi="Calibri"/>
                <w:b/>
                <w:bCs/>
              </w:rPr>
              <w:t>A</w:t>
            </w:r>
          </w:p>
        </w:tc>
        <w:tc>
          <w:tcPr>
            <w:tcW w:w="1623" w:type="dxa"/>
            <w:tcBorders>
              <w:top w:val="single" w:sz="4" w:space="0" w:color="auto"/>
              <w:left w:val="nil"/>
              <w:bottom w:val="single" w:sz="4" w:space="0" w:color="auto"/>
              <w:right w:val="single" w:sz="4" w:space="0" w:color="auto"/>
            </w:tcBorders>
            <w:shd w:val="clear" w:color="auto" w:fill="auto"/>
            <w:noWrap/>
            <w:vAlign w:val="center"/>
            <w:hideMark/>
          </w:tcPr>
          <w:p w14:paraId="36A8DE43" w14:textId="77777777" w:rsidR="002C41BF" w:rsidRPr="002C41BF" w:rsidRDefault="002C41BF" w:rsidP="002C41BF">
            <w:pPr>
              <w:jc w:val="center"/>
              <w:rPr>
                <w:rFonts w:ascii="Calibri" w:hAnsi="Calibri"/>
                <w:b/>
                <w:bCs/>
              </w:rPr>
            </w:pPr>
            <w:r w:rsidRPr="002C41BF">
              <w:rPr>
                <w:rFonts w:ascii="Calibri" w:hAnsi="Calibri"/>
                <w:b/>
                <w:bCs/>
              </w:rPr>
              <w:t>B</w:t>
            </w:r>
          </w:p>
        </w:tc>
        <w:tc>
          <w:tcPr>
            <w:tcW w:w="1527" w:type="dxa"/>
            <w:tcBorders>
              <w:top w:val="single" w:sz="4" w:space="0" w:color="auto"/>
              <w:left w:val="nil"/>
              <w:bottom w:val="single" w:sz="4" w:space="0" w:color="auto"/>
              <w:right w:val="single" w:sz="4" w:space="0" w:color="auto"/>
            </w:tcBorders>
            <w:shd w:val="clear" w:color="auto" w:fill="auto"/>
            <w:noWrap/>
            <w:vAlign w:val="center"/>
            <w:hideMark/>
          </w:tcPr>
          <w:p w14:paraId="07638A08" w14:textId="77777777" w:rsidR="002C41BF" w:rsidRPr="002C41BF" w:rsidRDefault="002C41BF" w:rsidP="002C41BF">
            <w:pPr>
              <w:jc w:val="center"/>
              <w:rPr>
                <w:rFonts w:ascii="Calibri" w:hAnsi="Calibri"/>
                <w:b/>
                <w:bCs/>
              </w:rPr>
            </w:pPr>
            <w:r w:rsidRPr="002C41BF">
              <w:rPr>
                <w:rFonts w:ascii="Calibri" w:hAnsi="Calibri"/>
                <w:b/>
                <w:bCs/>
              </w:rPr>
              <w:t>C</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10B318A5" w14:textId="77777777" w:rsidR="002C41BF" w:rsidRPr="002C41BF" w:rsidRDefault="002C41BF" w:rsidP="002C41BF">
            <w:pPr>
              <w:jc w:val="center"/>
              <w:rPr>
                <w:rFonts w:ascii="Calibri" w:hAnsi="Calibri"/>
                <w:b/>
                <w:bCs/>
              </w:rPr>
            </w:pPr>
            <w:r w:rsidRPr="002C41BF">
              <w:rPr>
                <w:rFonts w:ascii="Calibri" w:hAnsi="Calibri"/>
                <w:b/>
                <w:bCs/>
              </w:rPr>
              <w:t>D</w:t>
            </w:r>
          </w:p>
        </w:tc>
      </w:tr>
      <w:tr w:rsidR="00EA2D10" w:rsidRPr="002C41BF" w14:paraId="7B7FAFC1" w14:textId="77777777" w:rsidTr="00EA2D10">
        <w:trPr>
          <w:trHeight w:val="458"/>
        </w:trPr>
        <w:tc>
          <w:tcPr>
            <w:tcW w:w="20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43E18" w14:textId="77777777" w:rsidR="002C41BF" w:rsidRPr="002C41BF" w:rsidRDefault="002C41BF" w:rsidP="002C41BF">
            <w:pPr>
              <w:rPr>
                <w:rFonts w:ascii="Calibri" w:hAnsi="Calibri"/>
              </w:rPr>
            </w:pPr>
            <w:r w:rsidRPr="002C41BF">
              <w:rPr>
                <w:rFonts w:ascii="Calibri" w:hAnsi="Calibri"/>
              </w:rPr>
              <w:t>College_Graduate</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54AEF183" w14:textId="77777777" w:rsidR="002C41BF" w:rsidRPr="002C41BF" w:rsidRDefault="002C41BF" w:rsidP="002C41BF">
            <w:pPr>
              <w:jc w:val="center"/>
              <w:rPr>
                <w:rFonts w:ascii="Calibri" w:hAnsi="Calibri"/>
              </w:rPr>
            </w:pPr>
            <w:r w:rsidRPr="002C41BF">
              <w:rPr>
                <w:rFonts w:ascii="Calibri" w:hAnsi="Calibri"/>
              </w:rPr>
              <w:t>48268.69** (1906.30)</w:t>
            </w:r>
          </w:p>
        </w:tc>
        <w:tc>
          <w:tcPr>
            <w:tcW w:w="1623" w:type="dxa"/>
            <w:vMerge w:val="restart"/>
            <w:tcBorders>
              <w:top w:val="nil"/>
              <w:left w:val="single" w:sz="4" w:space="0" w:color="auto"/>
              <w:bottom w:val="single" w:sz="4" w:space="0" w:color="auto"/>
              <w:right w:val="single" w:sz="4" w:space="0" w:color="auto"/>
            </w:tcBorders>
            <w:shd w:val="clear" w:color="auto" w:fill="auto"/>
            <w:vAlign w:val="center"/>
            <w:hideMark/>
          </w:tcPr>
          <w:p w14:paraId="567423C7" w14:textId="77777777" w:rsidR="002C41BF" w:rsidRPr="002C41BF" w:rsidRDefault="002C41BF" w:rsidP="002C41BF">
            <w:pPr>
              <w:jc w:val="center"/>
              <w:rPr>
                <w:rFonts w:ascii="Calibri" w:hAnsi="Calibri"/>
              </w:rPr>
            </w:pPr>
            <w:r w:rsidRPr="002C41BF">
              <w:rPr>
                <w:rFonts w:ascii="Calibri" w:hAnsi="Calibri"/>
              </w:rPr>
              <w:t>48135.96** (1846.90)</w:t>
            </w:r>
          </w:p>
        </w:tc>
        <w:tc>
          <w:tcPr>
            <w:tcW w:w="1527" w:type="dxa"/>
            <w:vMerge w:val="restart"/>
            <w:tcBorders>
              <w:top w:val="nil"/>
              <w:left w:val="single" w:sz="4" w:space="0" w:color="auto"/>
              <w:bottom w:val="single" w:sz="4" w:space="0" w:color="auto"/>
              <w:right w:val="single" w:sz="4" w:space="0" w:color="auto"/>
            </w:tcBorders>
            <w:shd w:val="clear" w:color="auto" w:fill="auto"/>
            <w:vAlign w:val="center"/>
            <w:hideMark/>
          </w:tcPr>
          <w:p w14:paraId="408D666E" w14:textId="77777777" w:rsidR="002C41BF" w:rsidRPr="002C41BF" w:rsidRDefault="002C41BF" w:rsidP="002C41BF">
            <w:pPr>
              <w:jc w:val="center"/>
              <w:rPr>
                <w:rFonts w:ascii="Calibri" w:hAnsi="Calibri"/>
              </w:rPr>
            </w:pPr>
            <w:r w:rsidRPr="002C41BF">
              <w:rPr>
                <w:rFonts w:ascii="Calibri" w:hAnsi="Calibri"/>
              </w:rPr>
              <w:t>33757.50** (2151.98)</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0B9F5B56" w14:textId="77777777" w:rsidR="002C41BF" w:rsidRPr="002C41BF" w:rsidRDefault="002C41BF" w:rsidP="002C41BF">
            <w:pPr>
              <w:jc w:val="center"/>
              <w:rPr>
                <w:rFonts w:ascii="Calibri" w:hAnsi="Calibri"/>
              </w:rPr>
            </w:pPr>
            <w:r w:rsidRPr="002C41BF">
              <w:rPr>
                <w:rFonts w:ascii="Calibri" w:hAnsi="Calibri"/>
              </w:rPr>
              <w:t>22304.16** (2917.19)</w:t>
            </w:r>
          </w:p>
        </w:tc>
      </w:tr>
      <w:tr w:rsidR="00EA2D10" w:rsidRPr="002C41BF" w14:paraId="08F70602" w14:textId="77777777" w:rsidTr="00EA2D10">
        <w:trPr>
          <w:trHeight w:val="458"/>
        </w:trPr>
        <w:tc>
          <w:tcPr>
            <w:tcW w:w="2070" w:type="dxa"/>
            <w:vMerge/>
            <w:tcBorders>
              <w:top w:val="nil"/>
              <w:left w:val="single" w:sz="4" w:space="0" w:color="auto"/>
              <w:bottom w:val="single" w:sz="4" w:space="0" w:color="auto"/>
              <w:right w:val="single" w:sz="4" w:space="0" w:color="auto"/>
            </w:tcBorders>
            <w:vAlign w:val="center"/>
            <w:hideMark/>
          </w:tcPr>
          <w:p w14:paraId="6C86842F" w14:textId="77777777" w:rsidR="002C41BF" w:rsidRPr="002C41BF" w:rsidRDefault="002C41BF" w:rsidP="002C41BF">
            <w:pPr>
              <w:rPr>
                <w:rFonts w:ascii="Calibri" w:hAnsi="Calibri"/>
              </w:rPr>
            </w:pPr>
          </w:p>
        </w:tc>
        <w:tc>
          <w:tcPr>
            <w:tcW w:w="1440" w:type="dxa"/>
            <w:vMerge/>
            <w:tcBorders>
              <w:top w:val="nil"/>
              <w:left w:val="single" w:sz="4" w:space="0" w:color="auto"/>
              <w:bottom w:val="single" w:sz="4" w:space="0" w:color="auto"/>
              <w:right w:val="single" w:sz="4" w:space="0" w:color="auto"/>
            </w:tcBorders>
            <w:vAlign w:val="center"/>
            <w:hideMark/>
          </w:tcPr>
          <w:p w14:paraId="7F89EFB0" w14:textId="77777777" w:rsidR="002C41BF" w:rsidRPr="002C41BF" w:rsidRDefault="002C41BF" w:rsidP="002C41BF">
            <w:pPr>
              <w:rPr>
                <w:rFonts w:ascii="Calibri" w:hAnsi="Calibri"/>
              </w:rPr>
            </w:pPr>
          </w:p>
        </w:tc>
        <w:tc>
          <w:tcPr>
            <w:tcW w:w="1623" w:type="dxa"/>
            <w:vMerge/>
            <w:tcBorders>
              <w:top w:val="nil"/>
              <w:left w:val="single" w:sz="4" w:space="0" w:color="auto"/>
              <w:bottom w:val="single" w:sz="4" w:space="0" w:color="auto"/>
              <w:right w:val="single" w:sz="4" w:space="0" w:color="auto"/>
            </w:tcBorders>
            <w:vAlign w:val="center"/>
            <w:hideMark/>
          </w:tcPr>
          <w:p w14:paraId="69BD3370" w14:textId="77777777" w:rsidR="002C41BF" w:rsidRPr="002C41BF" w:rsidRDefault="002C41BF" w:rsidP="002C41BF">
            <w:pPr>
              <w:rPr>
                <w:rFonts w:ascii="Calibri" w:hAnsi="Calibri"/>
              </w:rPr>
            </w:pPr>
          </w:p>
        </w:tc>
        <w:tc>
          <w:tcPr>
            <w:tcW w:w="1527" w:type="dxa"/>
            <w:vMerge/>
            <w:tcBorders>
              <w:top w:val="nil"/>
              <w:left w:val="single" w:sz="4" w:space="0" w:color="auto"/>
              <w:bottom w:val="single" w:sz="4" w:space="0" w:color="auto"/>
              <w:right w:val="single" w:sz="4" w:space="0" w:color="auto"/>
            </w:tcBorders>
            <w:vAlign w:val="center"/>
            <w:hideMark/>
          </w:tcPr>
          <w:p w14:paraId="1A6B3D4F" w14:textId="77777777" w:rsidR="002C41BF" w:rsidRPr="002C41BF" w:rsidRDefault="002C41BF" w:rsidP="002C41BF">
            <w:pPr>
              <w:rPr>
                <w:rFonts w:ascii="Calibri" w:hAnsi="Calibri"/>
              </w:rPr>
            </w:pPr>
          </w:p>
        </w:tc>
        <w:tc>
          <w:tcPr>
            <w:tcW w:w="1620" w:type="dxa"/>
            <w:vMerge/>
            <w:tcBorders>
              <w:top w:val="nil"/>
              <w:left w:val="single" w:sz="4" w:space="0" w:color="auto"/>
              <w:bottom w:val="single" w:sz="4" w:space="0" w:color="auto"/>
              <w:right w:val="single" w:sz="4" w:space="0" w:color="auto"/>
            </w:tcBorders>
            <w:vAlign w:val="center"/>
            <w:hideMark/>
          </w:tcPr>
          <w:p w14:paraId="1F1BCF93" w14:textId="77777777" w:rsidR="002C41BF" w:rsidRPr="002C41BF" w:rsidRDefault="002C41BF" w:rsidP="002C41BF">
            <w:pPr>
              <w:rPr>
                <w:rFonts w:ascii="Calibri" w:hAnsi="Calibri"/>
              </w:rPr>
            </w:pPr>
          </w:p>
        </w:tc>
      </w:tr>
      <w:tr w:rsidR="00EA2D10" w:rsidRPr="002C41BF" w14:paraId="5F35C4F4" w14:textId="77777777" w:rsidTr="00EA2D10">
        <w:trPr>
          <w:trHeight w:val="458"/>
        </w:trPr>
        <w:tc>
          <w:tcPr>
            <w:tcW w:w="20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AE38C5" w14:textId="77777777" w:rsidR="002C41BF" w:rsidRPr="002C41BF" w:rsidRDefault="002C41BF" w:rsidP="002C41BF">
            <w:pPr>
              <w:rPr>
                <w:rFonts w:ascii="Calibri" w:hAnsi="Calibri"/>
              </w:rPr>
            </w:pPr>
            <w:r w:rsidRPr="002C41BF">
              <w:rPr>
                <w:rFonts w:ascii="Calibri" w:hAnsi="Calibri"/>
              </w:rPr>
              <w:t>Male</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41C4A054" w14:textId="77777777" w:rsidR="002C41BF" w:rsidRPr="002C41BF" w:rsidRDefault="002C41BF" w:rsidP="002C41BF">
            <w:pPr>
              <w:jc w:val="center"/>
              <w:rPr>
                <w:rFonts w:ascii="Calibri" w:hAnsi="Calibri"/>
              </w:rPr>
            </w:pPr>
            <w:r w:rsidRPr="002C41BF">
              <w:rPr>
                <w:rFonts w:ascii="Calibri" w:hAnsi="Calibri"/>
              </w:rPr>
              <w:t> </w:t>
            </w:r>
          </w:p>
        </w:tc>
        <w:tc>
          <w:tcPr>
            <w:tcW w:w="1623" w:type="dxa"/>
            <w:vMerge w:val="restart"/>
            <w:tcBorders>
              <w:top w:val="nil"/>
              <w:left w:val="single" w:sz="4" w:space="0" w:color="auto"/>
              <w:bottom w:val="single" w:sz="4" w:space="0" w:color="auto"/>
              <w:right w:val="single" w:sz="4" w:space="0" w:color="auto"/>
            </w:tcBorders>
            <w:shd w:val="clear" w:color="auto" w:fill="auto"/>
            <w:vAlign w:val="center"/>
            <w:hideMark/>
          </w:tcPr>
          <w:p w14:paraId="2F478A49" w14:textId="77777777" w:rsidR="002C41BF" w:rsidRPr="002C41BF" w:rsidRDefault="002C41BF" w:rsidP="002C41BF">
            <w:pPr>
              <w:jc w:val="center"/>
              <w:rPr>
                <w:rFonts w:ascii="Calibri" w:hAnsi="Calibri"/>
              </w:rPr>
            </w:pPr>
            <w:r w:rsidRPr="002C41BF">
              <w:rPr>
                <w:rFonts w:ascii="Calibri" w:hAnsi="Calibri"/>
              </w:rPr>
              <w:t>28715.60** (1642.52)</w:t>
            </w:r>
          </w:p>
        </w:tc>
        <w:tc>
          <w:tcPr>
            <w:tcW w:w="1527" w:type="dxa"/>
            <w:vMerge w:val="restart"/>
            <w:tcBorders>
              <w:top w:val="nil"/>
              <w:left w:val="single" w:sz="4" w:space="0" w:color="auto"/>
              <w:bottom w:val="single" w:sz="4" w:space="0" w:color="auto"/>
              <w:right w:val="single" w:sz="4" w:space="0" w:color="auto"/>
            </w:tcBorders>
            <w:shd w:val="clear" w:color="auto" w:fill="auto"/>
            <w:vAlign w:val="center"/>
            <w:hideMark/>
          </w:tcPr>
          <w:p w14:paraId="6690EF34" w14:textId="77777777" w:rsidR="002C41BF" w:rsidRPr="002C41BF" w:rsidRDefault="002C41BF" w:rsidP="002C41BF">
            <w:pPr>
              <w:jc w:val="center"/>
              <w:rPr>
                <w:rFonts w:ascii="Calibri" w:hAnsi="Calibri"/>
              </w:rPr>
            </w:pPr>
            <w:r w:rsidRPr="002C41BF">
              <w:rPr>
                <w:rFonts w:ascii="Calibri" w:hAnsi="Calibri"/>
              </w:rPr>
              <w:t>27937.41** (1615.43)</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6135922D" w14:textId="77777777" w:rsidR="002C41BF" w:rsidRPr="002C41BF" w:rsidRDefault="002C41BF" w:rsidP="002C41BF">
            <w:pPr>
              <w:jc w:val="center"/>
              <w:rPr>
                <w:rFonts w:ascii="Calibri" w:hAnsi="Calibri"/>
              </w:rPr>
            </w:pPr>
            <w:r w:rsidRPr="002C41BF">
              <w:rPr>
                <w:rFonts w:ascii="Calibri" w:hAnsi="Calibri"/>
              </w:rPr>
              <w:t>25010.09** (1581.94)</w:t>
            </w:r>
          </w:p>
        </w:tc>
      </w:tr>
      <w:tr w:rsidR="00EA2D10" w:rsidRPr="002C41BF" w14:paraId="261C4BC9" w14:textId="77777777" w:rsidTr="00EA2D10">
        <w:trPr>
          <w:trHeight w:val="458"/>
        </w:trPr>
        <w:tc>
          <w:tcPr>
            <w:tcW w:w="2070" w:type="dxa"/>
            <w:vMerge/>
            <w:tcBorders>
              <w:top w:val="nil"/>
              <w:left w:val="single" w:sz="4" w:space="0" w:color="auto"/>
              <w:bottom w:val="single" w:sz="4" w:space="0" w:color="auto"/>
              <w:right w:val="single" w:sz="4" w:space="0" w:color="auto"/>
            </w:tcBorders>
            <w:vAlign w:val="center"/>
            <w:hideMark/>
          </w:tcPr>
          <w:p w14:paraId="2CD1A11B" w14:textId="77777777" w:rsidR="002C41BF" w:rsidRPr="002C41BF" w:rsidRDefault="002C41BF" w:rsidP="002C41BF">
            <w:pPr>
              <w:rPr>
                <w:rFonts w:ascii="Calibri" w:hAnsi="Calibri"/>
              </w:rPr>
            </w:pPr>
          </w:p>
        </w:tc>
        <w:tc>
          <w:tcPr>
            <w:tcW w:w="1440" w:type="dxa"/>
            <w:vMerge/>
            <w:tcBorders>
              <w:top w:val="nil"/>
              <w:left w:val="single" w:sz="4" w:space="0" w:color="auto"/>
              <w:bottom w:val="single" w:sz="4" w:space="0" w:color="auto"/>
              <w:right w:val="single" w:sz="4" w:space="0" w:color="auto"/>
            </w:tcBorders>
            <w:vAlign w:val="center"/>
            <w:hideMark/>
          </w:tcPr>
          <w:p w14:paraId="011E41D5" w14:textId="77777777" w:rsidR="002C41BF" w:rsidRPr="002C41BF" w:rsidRDefault="002C41BF" w:rsidP="002C41BF">
            <w:pPr>
              <w:rPr>
                <w:rFonts w:ascii="Calibri" w:hAnsi="Calibri"/>
              </w:rPr>
            </w:pPr>
          </w:p>
        </w:tc>
        <w:tc>
          <w:tcPr>
            <w:tcW w:w="1623" w:type="dxa"/>
            <w:vMerge/>
            <w:tcBorders>
              <w:top w:val="nil"/>
              <w:left w:val="single" w:sz="4" w:space="0" w:color="auto"/>
              <w:bottom w:val="single" w:sz="4" w:space="0" w:color="auto"/>
              <w:right w:val="single" w:sz="4" w:space="0" w:color="auto"/>
            </w:tcBorders>
            <w:vAlign w:val="center"/>
            <w:hideMark/>
          </w:tcPr>
          <w:p w14:paraId="00D044A0" w14:textId="77777777" w:rsidR="002C41BF" w:rsidRPr="002C41BF" w:rsidRDefault="002C41BF" w:rsidP="002C41BF">
            <w:pPr>
              <w:rPr>
                <w:rFonts w:ascii="Calibri" w:hAnsi="Calibri"/>
              </w:rPr>
            </w:pPr>
          </w:p>
        </w:tc>
        <w:tc>
          <w:tcPr>
            <w:tcW w:w="1527" w:type="dxa"/>
            <w:vMerge/>
            <w:tcBorders>
              <w:top w:val="nil"/>
              <w:left w:val="single" w:sz="4" w:space="0" w:color="auto"/>
              <w:bottom w:val="single" w:sz="4" w:space="0" w:color="auto"/>
              <w:right w:val="single" w:sz="4" w:space="0" w:color="auto"/>
            </w:tcBorders>
            <w:vAlign w:val="center"/>
            <w:hideMark/>
          </w:tcPr>
          <w:p w14:paraId="50E5631A" w14:textId="77777777" w:rsidR="002C41BF" w:rsidRPr="002C41BF" w:rsidRDefault="002C41BF" w:rsidP="002C41BF">
            <w:pPr>
              <w:rPr>
                <w:rFonts w:ascii="Calibri" w:hAnsi="Calibri"/>
              </w:rPr>
            </w:pPr>
          </w:p>
        </w:tc>
        <w:tc>
          <w:tcPr>
            <w:tcW w:w="1620" w:type="dxa"/>
            <w:vMerge/>
            <w:tcBorders>
              <w:top w:val="nil"/>
              <w:left w:val="single" w:sz="4" w:space="0" w:color="auto"/>
              <w:bottom w:val="single" w:sz="4" w:space="0" w:color="auto"/>
              <w:right w:val="single" w:sz="4" w:space="0" w:color="auto"/>
            </w:tcBorders>
            <w:vAlign w:val="center"/>
            <w:hideMark/>
          </w:tcPr>
          <w:p w14:paraId="0B17AB89" w14:textId="77777777" w:rsidR="002C41BF" w:rsidRPr="002C41BF" w:rsidRDefault="002C41BF" w:rsidP="002C41BF">
            <w:pPr>
              <w:rPr>
                <w:rFonts w:ascii="Calibri" w:hAnsi="Calibri"/>
              </w:rPr>
            </w:pPr>
          </w:p>
        </w:tc>
      </w:tr>
      <w:tr w:rsidR="00EA2D10" w:rsidRPr="002C41BF" w14:paraId="3A012AAA" w14:textId="77777777" w:rsidTr="00EA2D10">
        <w:trPr>
          <w:trHeight w:val="458"/>
        </w:trPr>
        <w:tc>
          <w:tcPr>
            <w:tcW w:w="20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942D85" w14:textId="77777777" w:rsidR="002C41BF" w:rsidRPr="002C41BF" w:rsidRDefault="002C41BF" w:rsidP="002C41BF">
            <w:pPr>
              <w:rPr>
                <w:rFonts w:ascii="Calibri" w:hAnsi="Calibri"/>
              </w:rPr>
            </w:pPr>
            <w:r w:rsidRPr="002C41BF">
              <w:rPr>
                <w:rFonts w:ascii="Calibri" w:hAnsi="Calibri"/>
              </w:rPr>
              <w:t>Rural</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1DA31671" w14:textId="77777777" w:rsidR="002C41BF" w:rsidRPr="002C41BF" w:rsidRDefault="002C41BF" w:rsidP="002C41BF">
            <w:pPr>
              <w:jc w:val="center"/>
              <w:rPr>
                <w:rFonts w:ascii="Calibri" w:hAnsi="Calibri"/>
              </w:rPr>
            </w:pPr>
            <w:r w:rsidRPr="002C41BF">
              <w:rPr>
                <w:rFonts w:ascii="Calibri" w:hAnsi="Calibri"/>
              </w:rPr>
              <w:t> </w:t>
            </w:r>
          </w:p>
        </w:tc>
        <w:tc>
          <w:tcPr>
            <w:tcW w:w="1623" w:type="dxa"/>
            <w:vMerge w:val="restart"/>
            <w:tcBorders>
              <w:top w:val="nil"/>
              <w:left w:val="single" w:sz="4" w:space="0" w:color="auto"/>
              <w:bottom w:val="single" w:sz="4" w:space="0" w:color="auto"/>
              <w:right w:val="single" w:sz="4" w:space="0" w:color="auto"/>
            </w:tcBorders>
            <w:shd w:val="clear" w:color="auto" w:fill="auto"/>
            <w:vAlign w:val="center"/>
            <w:hideMark/>
          </w:tcPr>
          <w:p w14:paraId="14A0BFB3" w14:textId="77777777" w:rsidR="002C41BF" w:rsidRPr="002C41BF" w:rsidRDefault="002C41BF" w:rsidP="002C41BF">
            <w:pPr>
              <w:jc w:val="center"/>
              <w:rPr>
                <w:rFonts w:ascii="Calibri" w:hAnsi="Calibri"/>
              </w:rPr>
            </w:pPr>
            <w:r w:rsidRPr="002C41BF">
              <w:rPr>
                <w:rFonts w:ascii="Calibri" w:hAnsi="Calibri"/>
              </w:rPr>
              <w:t>-2256.96 (1753.48)</w:t>
            </w:r>
          </w:p>
        </w:tc>
        <w:tc>
          <w:tcPr>
            <w:tcW w:w="1527" w:type="dxa"/>
            <w:vMerge w:val="restart"/>
            <w:tcBorders>
              <w:top w:val="nil"/>
              <w:left w:val="single" w:sz="4" w:space="0" w:color="auto"/>
              <w:bottom w:val="single" w:sz="4" w:space="0" w:color="auto"/>
              <w:right w:val="single" w:sz="4" w:space="0" w:color="auto"/>
            </w:tcBorders>
            <w:shd w:val="clear" w:color="auto" w:fill="auto"/>
            <w:vAlign w:val="center"/>
            <w:hideMark/>
          </w:tcPr>
          <w:p w14:paraId="75E6F6EA" w14:textId="77777777" w:rsidR="002C41BF" w:rsidRPr="002C41BF" w:rsidRDefault="002C41BF" w:rsidP="002C41BF">
            <w:pPr>
              <w:jc w:val="center"/>
              <w:rPr>
                <w:rFonts w:ascii="Calibri" w:hAnsi="Calibri"/>
              </w:rPr>
            </w:pPr>
            <w:r w:rsidRPr="002C41BF">
              <w:rPr>
                <w:rFonts w:ascii="Calibri" w:hAnsi="Calibri"/>
              </w:rPr>
              <w:t>-2357.59 (1717.42)</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389B5463" w14:textId="77777777" w:rsidR="002C41BF" w:rsidRPr="002C41BF" w:rsidRDefault="002C41BF" w:rsidP="002C41BF">
            <w:pPr>
              <w:jc w:val="center"/>
              <w:rPr>
                <w:rFonts w:ascii="Calibri" w:hAnsi="Calibri"/>
              </w:rPr>
            </w:pPr>
            <w:r w:rsidRPr="002C41BF">
              <w:rPr>
                <w:rFonts w:ascii="Calibri" w:hAnsi="Calibri"/>
              </w:rPr>
              <w:t> </w:t>
            </w:r>
          </w:p>
        </w:tc>
      </w:tr>
      <w:tr w:rsidR="00EA2D10" w:rsidRPr="002C41BF" w14:paraId="3A2AE485" w14:textId="77777777" w:rsidTr="00EA2D10">
        <w:trPr>
          <w:trHeight w:val="458"/>
        </w:trPr>
        <w:tc>
          <w:tcPr>
            <w:tcW w:w="2070" w:type="dxa"/>
            <w:vMerge/>
            <w:tcBorders>
              <w:top w:val="nil"/>
              <w:left w:val="single" w:sz="4" w:space="0" w:color="auto"/>
              <w:bottom w:val="single" w:sz="4" w:space="0" w:color="auto"/>
              <w:right w:val="single" w:sz="4" w:space="0" w:color="auto"/>
            </w:tcBorders>
            <w:vAlign w:val="center"/>
            <w:hideMark/>
          </w:tcPr>
          <w:p w14:paraId="59CE8749" w14:textId="77777777" w:rsidR="002C41BF" w:rsidRPr="002C41BF" w:rsidRDefault="002C41BF" w:rsidP="002C41BF">
            <w:pPr>
              <w:rPr>
                <w:rFonts w:ascii="Calibri" w:hAnsi="Calibri"/>
              </w:rPr>
            </w:pPr>
          </w:p>
        </w:tc>
        <w:tc>
          <w:tcPr>
            <w:tcW w:w="1440" w:type="dxa"/>
            <w:vMerge/>
            <w:tcBorders>
              <w:top w:val="nil"/>
              <w:left w:val="single" w:sz="4" w:space="0" w:color="auto"/>
              <w:bottom w:val="single" w:sz="4" w:space="0" w:color="auto"/>
              <w:right w:val="single" w:sz="4" w:space="0" w:color="auto"/>
            </w:tcBorders>
            <w:vAlign w:val="center"/>
            <w:hideMark/>
          </w:tcPr>
          <w:p w14:paraId="6328D8F4" w14:textId="77777777" w:rsidR="002C41BF" w:rsidRPr="002C41BF" w:rsidRDefault="002C41BF" w:rsidP="002C41BF">
            <w:pPr>
              <w:rPr>
                <w:rFonts w:ascii="Calibri" w:hAnsi="Calibri"/>
              </w:rPr>
            </w:pPr>
          </w:p>
        </w:tc>
        <w:tc>
          <w:tcPr>
            <w:tcW w:w="1623" w:type="dxa"/>
            <w:vMerge/>
            <w:tcBorders>
              <w:top w:val="nil"/>
              <w:left w:val="single" w:sz="4" w:space="0" w:color="auto"/>
              <w:bottom w:val="single" w:sz="4" w:space="0" w:color="auto"/>
              <w:right w:val="single" w:sz="4" w:space="0" w:color="auto"/>
            </w:tcBorders>
            <w:vAlign w:val="center"/>
            <w:hideMark/>
          </w:tcPr>
          <w:p w14:paraId="3117F5E3" w14:textId="77777777" w:rsidR="002C41BF" w:rsidRPr="002C41BF" w:rsidRDefault="002C41BF" w:rsidP="002C41BF">
            <w:pPr>
              <w:rPr>
                <w:rFonts w:ascii="Calibri" w:hAnsi="Calibri"/>
              </w:rPr>
            </w:pPr>
          </w:p>
        </w:tc>
        <w:tc>
          <w:tcPr>
            <w:tcW w:w="1527" w:type="dxa"/>
            <w:vMerge/>
            <w:tcBorders>
              <w:top w:val="nil"/>
              <w:left w:val="single" w:sz="4" w:space="0" w:color="auto"/>
              <w:bottom w:val="single" w:sz="4" w:space="0" w:color="auto"/>
              <w:right w:val="single" w:sz="4" w:space="0" w:color="auto"/>
            </w:tcBorders>
            <w:vAlign w:val="center"/>
            <w:hideMark/>
          </w:tcPr>
          <w:p w14:paraId="7F40D8DB" w14:textId="77777777" w:rsidR="002C41BF" w:rsidRPr="002C41BF" w:rsidRDefault="002C41BF" w:rsidP="002C41BF">
            <w:pPr>
              <w:rPr>
                <w:rFonts w:ascii="Calibri" w:hAnsi="Calibri"/>
              </w:rPr>
            </w:pPr>
          </w:p>
        </w:tc>
        <w:tc>
          <w:tcPr>
            <w:tcW w:w="1620" w:type="dxa"/>
            <w:vMerge/>
            <w:tcBorders>
              <w:top w:val="nil"/>
              <w:left w:val="single" w:sz="4" w:space="0" w:color="auto"/>
              <w:bottom w:val="single" w:sz="4" w:space="0" w:color="auto"/>
              <w:right w:val="single" w:sz="4" w:space="0" w:color="auto"/>
            </w:tcBorders>
            <w:vAlign w:val="center"/>
            <w:hideMark/>
          </w:tcPr>
          <w:p w14:paraId="75CC5020" w14:textId="77777777" w:rsidR="002C41BF" w:rsidRPr="002C41BF" w:rsidRDefault="002C41BF" w:rsidP="002C41BF">
            <w:pPr>
              <w:rPr>
                <w:rFonts w:ascii="Calibri" w:hAnsi="Calibri"/>
              </w:rPr>
            </w:pPr>
          </w:p>
        </w:tc>
      </w:tr>
      <w:tr w:rsidR="00EA2D10" w:rsidRPr="002C41BF" w14:paraId="5F902046" w14:textId="77777777" w:rsidTr="00EA2D10">
        <w:trPr>
          <w:trHeight w:val="458"/>
        </w:trPr>
        <w:tc>
          <w:tcPr>
            <w:tcW w:w="20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8D96C3" w14:textId="77777777" w:rsidR="002C41BF" w:rsidRPr="002C41BF" w:rsidRDefault="002C41BF" w:rsidP="002C41BF">
            <w:pPr>
              <w:rPr>
                <w:rFonts w:ascii="Calibri" w:hAnsi="Calibri"/>
              </w:rPr>
            </w:pPr>
            <w:r w:rsidRPr="002C41BF">
              <w:rPr>
                <w:rFonts w:ascii="Calibri" w:hAnsi="Calibri"/>
              </w:rPr>
              <w:t>IQ_Less_80</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44DD8584" w14:textId="77777777" w:rsidR="002C41BF" w:rsidRPr="002C41BF" w:rsidRDefault="002C41BF" w:rsidP="002C41BF">
            <w:pPr>
              <w:jc w:val="center"/>
              <w:rPr>
                <w:rFonts w:ascii="Calibri" w:hAnsi="Calibri"/>
              </w:rPr>
            </w:pPr>
            <w:r w:rsidRPr="002C41BF">
              <w:rPr>
                <w:rFonts w:ascii="Calibri" w:hAnsi="Calibri"/>
              </w:rPr>
              <w:t> </w:t>
            </w:r>
          </w:p>
        </w:tc>
        <w:tc>
          <w:tcPr>
            <w:tcW w:w="1623" w:type="dxa"/>
            <w:vMerge w:val="restart"/>
            <w:tcBorders>
              <w:top w:val="nil"/>
              <w:left w:val="single" w:sz="4" w:space="0" w:color="auto"/>
              <w:bottom w:val="single" w:sz="4" w:space="0" w:color="auto"/>
              <w:right w:val="single" w:sz="4" w:space="0" w:color="auto"/>
            </w:tcBorders>
            <w:shd w:val="clear" w:color="auto" w:fill="auto"/>
            <w:vAlign w:val="center"/>
            <w:hideMark/>
          </w:tcPr>
          <w:p w14:paraId="0157E828" w14:textId="77777777" w:rsidR="002C41BF" w:rsidRPr="002C41BF" w:rsidRDefault="002C41BF" w:rsidP="002C41BF">
            <w:pPr>
              <w:jc w:val="center"/>
              <w:rPr>
                <w:rFonts w:ascii="Calibri" w:hAnsi="Calibri"/>
              </w:rPr>
            </w:pPr>
            <w:r w:rsidRPr="002C41BF">
              <w:rPr>
                <w:rFonts w:ascii="Calibri" w:hAnsi="Calibri"/>
              </w:rPr>
              <w:t> </w:t>
            </w:r>
          </w:p>
        </w:tc>
        <w:tc>
          <w:tcPr>
            <w:tcW w:w="1527" w:type="dxa"/>
            <w:vMerge w:val="restart"/>
            <w:tcBorders>
              <w:top w:val="nil"/>
              <w:left w:val="single" w:sz="4" w:space="0" w:color="auto"/>
              <w:bottom w:val="single" w:sz="4" w:space="0" w:color="auto"/>
              <w:right w:val="single" w:sz="4" w:space="0" w:color="auto"/>
            </w:tcBorders>
            <w:shd w:val="clear" w:color="auto" w:fill="auto"/>
            <w:vAlign w:val="center"/>
            <w:hideMark/>
          </w:tcPr>
          <w:p w14:paraId="2471F9C9" w14:textId="77777777" w:rsidR="002C41BF" w:rsidRPr="002C41BF" w:rsidRDefault="002C41BF" w:rsidP="002C41BF">
            <w:pPr>
              <w:jc w:val="center"/>
              <w:rPr>
                <w:rFonts w:ascii="Calibri" w:hAnsi="Calibri"/>
              </w:rPr>
            </w:pPr>
            <w:r w:rsidRPr="002C41BF">
              <w:rPr>
                <w:rFonts w:ascii="Calibri" w:hAnsi="Calibri"/>
              </w:rPr>
              <w:t>-20924.80** (3135.19)</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438850CA" w14:textId="77777777" w:rsidR="002C41BF" w:rsidRPr="002C41BF" w:rsidRDefault="002C41BF" w:rsidP="002C41BF">
            <w:pPr>
              <w:jc w:val="center"/>
              <w:rPr>
                <w:rFonts w:ascii="Calibri" w:hAnsi="Calibri"/>
              </w:rPr>
            </w:pPr>
            <w:r w:rsidRPr="002C41BF">
              <w:rPr>
                <w:rFonts w:ascii="Calibri" w:hAnsi="Calibri"/>
              </w:rPr>
              <w:t>-18537.93** (3121.29)</w:t>
            </w:r>
          </w:p>
        </w:tc>
      </w:tr>
      <w:tr w:rsidR="00EA2D10" w:rsidRPr="002C41BF" w14:paraId="0D04148C" w14:textId="77777777" w:rsidTr="00EA2D10">
        <w:trPr>
          <w:trHeight w:val="458"/>
        </w:trPr>
        <w:tc>
          <w:tcPr>
            <w:tcW w:w="2070" w:type="dxa"/>
            <w:vMerge/>
            <w:tcBorders>
              <w:top w:val="nil"/>
              <w:left w:val="single" w:sz="4" w:space="0" w:color="auto"/>
              <w:bottom w:val="single" w:sz="4" w:space="0" w:color="auto"/>
              <w:right w:val="single" w:sz="4" w:space="0" w:color="auto"/>
            </w:tcBorders>
            <w:vAlign w:val="center"/>
            <w:hideMark/>
          </w:tcPr>
          <w:p w14:paraId="3732F925" w14:textId="77777777" w:rsidR="002C41BF" w:rsidRPr="002C41BF" w:rsidRDefault="002C41BF" w:rsidP="002C41BF">
            <w:pPr>
              <w:rPr>
                <w:rFonts w:ascii="Calibri" w:hAnsi="Calibri"/>
              </w:rPr>
            </w:pPr>
          </w:p>
        </w:tc>
        <w:tc>
          <w:tcPr>
            <w:tcW w:w="1440" w:type="dxa"/>
            <w:vMerge/>
            <w:tcBorders>
              <w:top w:val="nil"/>
              <w:left w:val="single" w:sz="4" w:space="0" w:color="auto"/>
              <w:bottom w:val="single" w:sz="4" w:space="0" w:color="auto"/>
              <w:right w:val="single" w:sz="4" w:space="0" w:color="auto"/>
            </w:tcBorders>
            <w:vAlign w:val="center"/>
            <w:hideMark/>
          </w:tcPr>
          <w:p w14:paraId="398CC081" w14:textId="77777777" w:rsidR="002C41BF" w:rsidRPr="002C41BF" w:rsidRDefault="002C41BF" w:rsidP="002C41BF">
            <w:pPr>
              <w:rPr>
                <w:rFonts w:ascii="Calibri" w:hAnsi="Calibri"/>
              </w:rPr>
            </w:pPr>
          </w:p>
        </w:tc>
        <w:tc>
          <w:tcPr>
            <w:tcW w:w="1623" w:type="dxa"/>
            <w:vMerge/>
            <w:tcBorders>
              <w:top w:val="nil"/>
              <w:left w:val="single" w:sz="4" w:space="0" w:color="auto"/>
              <w:bottom w:val="single" w:sz="4" w:space="0" w:color="auto"/>
              <w:right w:val="single" w:sz="4" w:space="0" w:color="auto"/>
            </w:tcBorders>
            <w:vAlign w:val="center"/>
            <w:hideMark/>
          </w:tcPr>
          <w:p w14:paraId="67C1FA50" w14:textId="77777777" w:rsidR="002C41BF" w:rsidRPr="002C41BF" w:rsidRDefault="002C41BF" w:rsidP="002C41BF">
            <w:pPr>
              <w:rPr>
                <w:rFonts w:ascii="Calibri" w:hAnsi="Calibri"/>
              </w:rPr>
            </w:pPr>
          </w:p>
        </w:tc>
        <w:tc>
          <w:tcPr>
            <w:tcW w:w="1527" w:type="dxa"/>
            <w:vMerge/>
            <w:tcBorders>
              <w:top w:val="nil"/>
              <w:left w:val="single" w:sz="4" w:space="0" w:color="auto"/>
              <w:bottom w:val="single" w:sz="4" w:space="0" w:color="auto"/>
              <w:right w:val="single" w:sz="4" w:space="0" w:color="auto"/>
            </w:tcBorders>
            <w:vAlign w:val="center"/>
            <w:hideMark/>
          </w:tcPr>
          <w:p w14:paraId="17ACCD05" w14:textId="77777777" w:rsidR="002C41BF" w:rsidRPr="002C41BF" w:rsidRDefault="002C41BF" w:rsidP="002C41BF">
            <w:pPr>
              <w:rPr>
                <w:rFonts w:ascii="Calibri" w:hAnsi="Calibri"/>
              </w:rPr>
            </w:pPr>
          </w:p>
        </w:tc>
        <w:tc>
          <w:tcPr>
            <w:tcW w:w="1620" w:type="dxa"/>
            <w:vMerge/>
            <w:tcBorders>
              <w:top w:val="nil"/>
              <w:left w:val="single" w:sz="4" w:space="0" w:color="auto"/>
              <w:bottom w:val="single" w:sz="4" w:space="0" w:color="auto"/>
              <w:right w:val="single" w:sz="4" w:space="0" w:color="auto"/>
            </w:tcBorders>
            <w:vAlign w:val="center"/>
            <w:hideMark/>
          </w:tcPr>
          <w:p w14:paraId="5B41F941" w14:textId="77777777" w:rsidR="002C41BF" w:rsidRPr="002C41BF" w:rsidRDefault="002C41BF" w:rsidP="002C41BF">
            <w:pPr>
              <w:rPr>
                <w:rFonts w:ascii="Calibri" w:hAnsi="Calibri"/>
              </w:rPr>
            </w:pPr>
          </w:p>
        </w:tc>
      </w:tr>
      <w:tr w:rsidR="00EA2D10" w:rsidRPr="002C41BF" w14:paraId="13A7E076" w14:textId="77777777" w:rsidTr="00EA2D10">
        <w:trPr>
          <w:trHeight w:val="458"/>
        </w:trPr>
        <w:tc>
          <w:tcPr>
            <w:tcW w:w="20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9501D8" w14:textId="77777777" w:rsidR="002C41BF" w:rsidRPr="002C41BF" w:rsidRDefault="002C41BF" w:rsidP="002C41BF">
            <w:pPr>
              <w:rPr>
                <w:rFonts w:ascii="Calibri" w:hAnsi="Calibri"/>
              </w:rPr>
            </w:pPr>
            <w:r w:rsidRPr="002C41BF">
              <w:rPr>
                <w:rFonts w:ascii="Calibri" w:hAnsi="Calibri"/>
              </w:rPr>
              <w:t>IQ_80_89</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1F74A425" w14:textId="77777777" w:rsidR="002C41BF" w:rsidRPr="002C41BF" w:rsidRDefault="002C41BF" w:rsidP="002C41BF">
            <w:pPr>
              <w:jc w:val="center"/>
              <w:rPr>
                <w:rFonts w:ascii="Calibri" w:hAnsi="Calibri"/>
              </w:rPr>
            </w:pPr>
            <w:r w:rsidRPr="002C41BF">
              <w:rPr>
                <w:rFonts w:ascii="Calibri" w:hAnsi="Calibri"/>
              </w:rPr>
              <w:t> </w:t>
            </w:r>
          </w:p>
        </w:tc>
        <w:tc>
          <w:tcPr>
            <w:tcW w:w="1623" w:type="dxa"/>
            <w:vMerge w:val="restart"/>
            <w:tcBorders>
              <w:top w:val="nil"/>
              <w:left w:val="single" w:sz="4" w:space="0" w:color="auto"/>
              <w:bottom w:val="single" w:sz="4" w:space="0" w:color="auto"/>
              <w:right w:val="single" w:sz="4" w:space="0" w:color="auto"/>
            </w:tcBorders>
            <w:shd w:val="clear" w:color="auto" w:fill="auto"/>
            <w:vAlign w:val="center"/>
            <w:hideMark/>
          </w:tcPr>
          <w:p w14:paraId="58C9EFD7" w14:textId="77777777" w:rsidR="002C41BF" w:rsidRPr="002C41BF" w:rsidRDefault="002C41BF" w:rsidP="002C41BF">
            <w:pPr>
              <w:jc w:val="center"/>
              <w:rPr>
                <w:rFonts w:ascii="Calibri" w:hAnsi="Calibri"/>
              </w:rPr>
            </w:pPr>
            <w:r w:rsidRPr="002C41BF">
              <w:rPr>
                <w:rFonts w:ascii="Calibri" w:hAnsi="Calibri"/>
              </w:rPr>
              <w:t> </w:t>
            </w:r>
          </w:p>
        </w:tc>
        <w:tc>
          <w:tcPr>
            <w:tcW w:w="1527" w:type="dxa"/>
            <w:vMerge w:val="restart"/>
            <w:tcBorders>
              <w:top w:val="nil"/>
              <w:left w:val="single" w:sz="4" w:space="0" w:color="auto"/>
              <w:bottom w:val="single" w:sz="4" w:space="0" w:color="auto"/>
              <w:right w:val="single" w:sz="4" w:space="0" w:color="auto"/>
            </w:tcBorders>
            <w:shd w:val="clear" w:color="auto" w:fill="auto"/>
            <w:vAlign w:val="center"/>
            <w:hideMark/>
          </w:tcPr>
          <w:p w14:paraId="5602E11F" w14:textId="77777777" w:rsidR="002C41BF" w:rsidRPr="002C41BF" w:rsidRDefault="002C41BF" w:rsidP="002C41BF">
            <w:pPr>
              <w:jc w:val="center"/>
              <w:rPr>
                <w:rFonts w:ascii="Calibri" w:hAnsi="Calibri"/>
              </w:rPr>
            </w:pPr>
            <w:r w:rsidRPr="002C41BF">
              <w:rPr>
                <w:rFonts w:ascii="Calibri" w:hAnsi="Calibri"/>
              </w:rPr>
              <w:t>-14098.31** (2601.84)</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4783502E" w14:textId="77777777" w:rsidR="002C41BF" w:rsidRPr="002C41BF" w:rsidRDefault="002C41BF" w:rsidP="002C41BF">
            <w:pPr>
              <w:jc w:val="center"/>
              <w:rPr>
                <w:rFonts w:ascii="Calibri" w:hAnsi="Calibri"/>
              </w:rPr>
            </w:pPr>
            <w:r w:rsidRPr="002C41BF">
              <w:rPr>
                <w:rFonts w:ascii="Calibri" w:hAnsi="Calibri"/>
              </w:rPr>
              <w:t>-14798.57** (2563.44)</w:t>
            </w:r>
          </w:p>
        </w:tc>
      </w:tr>
      <w:tr w:rsidR="00EA2D10" w:rsidRPr="002C41BF" w14:paraId="70EF92D1" w14:textId="77777777" w:rsidTr="00EA2D10">
        <w:trPr>
          <w:trHeight w:val="458"/>
        </w:trPr>
        <w:tc>
          <w:tcPr>
            <w:tcW w:w="2070" w:type="dxa"/>
            <w:vMerge/>
            <w:tcBorders>
              <w:top w:val="nil"/>
              <w:left w:val="single" w:sz="4" w:space="0" w:color="auto"/>
              <w:bottom w:val="single" w:sz="4" w:space="0" w:color="auto"/>
              <w:right w:val="single" w:sz="4" w:space="0" w:color="auto"/>
            </w:tcBorders>
            <w:vAlign w:val="center"/>
            <w:hideMark/>
          </w:tcPr>
          <w:p w14:paraId="2A5AC9FD" w14:textId="77777777" w:rsidR="002C41BF" w:rsidRPr="002C41BF" w:rsidRDefault="002C41BF" w:rsidP="002C41BF">
            <w:pPr>
              <w:rPr>
                <w:rFonts w:ascii="Calibri" w:hAnsi="Calibri"/>
              </w:rPr>
            </w:pPr>
          </w:p>
        </w:tc>
        <w:tc>
          <w:tcPr>
            <w:tcW w:w="1440" w:type="dxa"/>
            <w:vMerge/>
            <w:tcBorders>
              <w:top w:val="nil"/>
              <w:left w:val="single" w:sz="4" w:space="0" w:color="auto"/>
              <w:bottom w:val="single" w:sz="4" w:space="0" w:color="auto"/>
              <w:right w:val="single" w:sz="4" w:space="0" w:color="auto"/>
            </w:tcBorders>
            <w:vAlign w:val="center"/>
            <w:hideMark/>
          </w:tcPr>
          <w:p w14:paraId="7803AE72" w14:textId="77777777" w:rsidR="002C41BF" w:rsidRPr="002C41BF" w:rsidRDefault="002C41BF" w:rsidP="002C41BF">
            <w:pPr>
              <w:rPr>
                <w:rFonts w:ascii="Calibri" w:hAnsi="Calibri"/>
              </w:rPr>
            </w:pPr>
          </w:p>
        </w:tc>
        <w:tc>
          <w:tcPr>
            <w:tcW w:w="1623" w:type="dxa"/>
            <w:vMerge/>
            <w:tcBorders>
              <w:top w:val="nil"/>
              <w:left w:val="single" w:sz="4" w:space="0" w:color="auto"/>
              <w:bottom w:val="single" w:sz="4" w:space="0" w:color="auto"/>
              <w:right w:val="single" w:sz="4" w:space="0" w:color="auto"/>
            </w:tcBorders>
            <w:vAlign w:val="center"/>
            <w:hideMark/>
          </w:tcPr>
          <w:p w14:paraId="40484CD1" w14:textId="77777777" w:rsidR="002C41BF" w:rsidRPr="002C41BF" w:rsidRDefault="002C41BF" w:rsidP="002C41BF">
            <w:pPr>
              <w:rPr>
                <w:rFonts w:ascii="Calibri" w:hAnsi="Calibri"/>
              </w:rPr>
            </w:pPr>
          </w:p>
        </w:tc>
        <w:tc>
          <w:tcPr>
            <w:tcW w:w="1527" w:type="dxa"/>
            <w:vMerge/>
            <w:tcBorders>
              <w:top w:val="nil"/>
              <w:left w:val="single" w:sz="4" w:space="0" w:color="auto"/>
              <w:bottom w:val="single" w:sz="4" w:space="0" w:color="auto"/>
              <w:right w:val="single" w:sz="4" w:space="0" w:color="auto"/>
            </w:tcBorders>
            <w:vAlign w:val="center"/>
            <w:hideMark/>
          </w:tcPr>
          <w:p w14:paraId="30B7BC14" w14:textId="77777777" w:rsidR="002C41BF" w:rsidRPr="002C41BF" w:rsidRDefault="002C41BF" w:rsidP="002C41BF">
            <w:pPr>
              <w:rPr>
                <w:rFonts w:ascii="Calibri" w:hAnsi="Calibri"/>
              </w:rPr>
            </w:pPr>
          </w:p>
        </w:tc>
        <w:tc>
          <w:tcPr>
            <w:tcW w:w="1620" w:type="dxa"/>
            <w:vMerge/>
            <w:tcBorders>
              <w:top w:val="nil"/>
              <w:left w:val="single" w:sz="4" w:space="0" w:color="auto"/>
              <w:bottom w:val="single" w:sz="4" w:space="0" w:color="auto"/>
              <w:right w:val="single" w:sz="4" w:space="0" w:color="auto"/>
            </w:tcBorders>
            <w:vAlign w:val="center"/>
            <w:hideMark/>
          </w:tcPr>
          <w:p w14:paraId="13B7100E" w14:textId="77777777" w:rsidR="002C41BF" w:rsidRPr="002C41BF" w:rsidRDefault="002C41BF" w:rsidP="002C41BF">
            <w:pPr>
              <w:rPr>
                <w:rFonts w:ascii="Calibri" w:hAnsi="Calibri"/>
              </w:rPr>
            </w:pPr>
          </w:p>
        </w:tc>
      </w:tr>
      <w:tr w:rsidR="00EA2D10" w:rsidRPr="002C41BF" w14:paraId="78B4BE3A" w14:textId="77777777" w:rsidTr="00EA2D10">
        <w:trPr>
          <w:trHeight w:val="458"/>
        </w:trPr>
        <w:tc>
          <w:tcPr>
            <w:tcW w:w="20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E062CC" w14:textId="77777777" w:rsidR="002C41BF" w:rsidRPr="002C41BF" w:rsidRDefault="002C41BF" w:rsidP="002C41BF">
            <w:pPr>
              <w:rPr>
                <w:rFonts w:ascii="Calibri" w:hAnsi="Calibri"/>
              </w:rPr>
            </w:pPr>
            <w:r w:rsidRPr="002C41BF">
              <w:rPr>
                <w:rFonts w:ascii="Calibri" w:hAnsi="Calibri"/>
              </w:rPr>
              <w:t>IQ_90_99</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083B0427" w14:textId="77777777" w:rsidR="002C41BF" w:rsidRPr="002C41BF" w:rsidRDefault="002C41BF" w:rsidP="002C41BF">
            <w:pPr>
              <w:jc w:val="center"/>
              <w:rPr>
                <w:rFonts w:ascii="Calibri" w:hAnsi="Calibri"/>
              </w:rPr>
            </w:pPr>
            <w:r w:rsidRPr="002C41BF">
              <w:rPr>
                <w:rFonts w:ascii="Calibri" w:hAnsi="Calibri"/>
              </w:rPr>
              <w:t> </w:t>
            </w:r>
          </w:p>
        </w:tc>
        <w:tc>
          <w:tcPr>
            <w:tcW w:w="1623" w:type="dxa"/>
            <w:vMerge w:val="restart"/>
            <w:tcBorders>
              <w:top w:val="nil"/>
              <w:left w:val="single" w:sz="4" w:space="0" w:color="auto"/>
              <w:bottom w:val="single" w:sz="4" w:space="0" w:color="auto"/>
              <w:right w:val="single" w:sz="4" w:space="0" w:color="auto"/>
            </w:tcBorders>
            <w:shd w:val="clear" w:color="auto" w:fill="auto"/>
            <w:vAlign w:val="center"/>
            <w:hideMark/>
          </w:tcPr>
          <w:p w14:paraId="5B1B100D" w14:textId="77777777" w:rsidR="002C41BF" w:rsidRPr="002C41BF" w:rsidRDefault="002C41BF" w:rsidP="002C41BF">
            <w:pPr>
              <w:jc w:val="center"/>
              <w:rPr>
                <w:rFonts w:ascii="Calibri" w:hAnsi="Calibri"/>
              </w:rPr>
            </w:pPr>
            <w:r w:rsidRPr="002C41BF">
              <w:rPr>
                <w:rFonts w:ascii="Calibri" w:hAnsi="Calibri"/>
              </w:rPr>
              <w:t> </w:t>
            </w:r>
          </w:p>
        </w:tc>
        <w:tc>
          <w:tcPr>
            <w:tcW w:w="1527" w:type="dxa"/>
            <w:vMerge w:val="restart"/>
            <w:tcBorders>
              <w:top w:val="nil"/>
              <w:left w:val="single" w:sz="4" w:space="0" w:color="auto"/>
              <w:bottom w:val="single" w:sz="4" w:space="0" w:color="auto"/>
              <w:right w:val="single" w:sz="4" w:space="0" w:color="auto"/>
            </w:tcBorders>
            <w:shd w:val="clear" w:color="auto" w:fill="auto"/>
            <w:vAlign w:val="center"/>
            <w:hideMark/>
          </w:tcPr>
          <w:p w14:paraId="3843B24B" w14:textId="77777777" w:rsidR="002C41BF" w:rsidRPr="002C41BF" w:rsidRDefault="002C41BF" w:rsidP="002C41BF">
            <w:pPr>
              <w:jc w:val="center"/>
              <w:rPr>
                <w:rFonts w:ascii="Calibri" w:hAnsi="Calibri"/>
              </w:rPr>
            </w:pPr>
            <w:r w:rsidRPr="002C41BF">
              <w:rPr>
                <w:rFonts w:ascii="Calibri" w:hAnsi="Calibri"/>
              </w:rPr>
              <w:t>-2729.89 (2615.14)</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81BAC7C" w14:textId="77777777" w:rsidR="002C41BF" w:rsidRPr="002C41BF" w:rsidRDefault="002C41BF" w:rsidP="002C41BF">
            <w:pPr>
              <w:jc w:val="center"/>
              <w:rPr>
                <w:rFonts w:ascii="Calibri" w:hAnsi="Calibri"/>
              </w:rPr>
            </w:pPr>
            <w:r w:rsidRPr="002C41BF">
              <w:rPr>
                <w:rFonts w:ascii="Calibri" w:hAnsi="Calibri"/>
              </w:rPr>
              <w:t>-3146.65 (2550.42)</w:t>
            </w:r>
          </w:p>
        </w:tc>
      </w:tr>
      <w:tr w:rsidR="00EA2D10" w:rsidRPr="002C41BF" w14:paraId="6137BB18" w14:textId="77777777" w:rsidTr="00EA2D10">
        <w:trPr>
          <w:trHeight w:val="458"/>
        </w:trPr>
        <w:tc>
          <w:tcPr>
            <w:tcW w:w="2070" w:type="dxa"/>
            <w:vMerge/>
            <w:tcBorders>
              <w:top w:val="nil"/>
              <w:left w:val="single" w:sz="4" w:space="0" w:color="auto"/>
              <w:bottom w:val="single" w:sz="4" w:space="0" w:color="auto"/>
              <w:right w:val="single" w:sz="4" w:space="0" w:color="auto"/>
            </w:tcBorders>
            <w:vAlign w:val="center"/>
            <w:hideMark/>
          </w:tcPr>
          <w:p w14:paraId="48F2A537" w14:textId="77777777" w:rsidR="002C41BF" w:rsidRPr="002C41BF" w:rsidRDefault="002C41BF" w:rsidP="002C41BF">
            <w:pPr>
              <w:rPr>
                <w:rFonts w:ascii="Calibri" w:hAnsi="Calibri"/>
              </w:rPr>
            </w:pPr>
          </w:p>
        </w:tc>
        <w:tc>
          <w:tcPr>
            <w:tcW w:w="1440" w:type="dxa"/>
            <w:vMerge/>
            <w:tcBorders>
              <w:top w:val="nil"/>
              <w:left w:val="single" w:sz="4" w:space="0" w:color="auto"/>
              <w:bottom w:val="single" w:sz="4" w:space="0" w:color="auto"/>
              <w:right w:val="single" w:sz="4" w:space="0" w:color="auto"/>
            </w:tcBorders>
            <w:vAlign w:val="center"/>
            <w:hideMark/>
          </w:tcPr>
          <w:p w14:paraId="1FB9096C" w14:textId="77777777" w:rsidR="002C41BF" w:rsidRPr="002C41BF" w:rsidRDefault="002C41BF" w:rsidP="002C41BF">
            <w:pPr>
              <w:rPr>
                <w:rFonts w:ascii="Calibri" w:hAnsi="Calibri"/>
              </w:rPr>
            </w:pPr>
          </w:p>
        </w:tc>
        <w:tc>
          <w:tcPr>
            <w:tcW w:w="1623" w:type="dxa"/>
            <w:vMerge/>
            <w:tcBorders>
              <w:top w:val="nil"/>
              <w:left w:val="single" w:sz="4" w:space="0" w:color="auto"/>
              <w:bottom w:val="single" w:sz="4" w:space="0" w:color="auto"/>
              <w:right w:val="single" w:sz="4" w:space="0" w:color="auto"/>
            </w:tcBorders>
            <w:vAlign w:val="center"/>
            <w:hideMark/>
          </w:tcPr>
          <w:p w14:paraId="18AB30EE" w14:textId="77777777" w:rsidR="002C41BF" w:rsidRPr="002C41BF" w:rsidRDefault="002C41BF" w:rsidP="002C41BF">
            <w:pPr>
              <w:rPr>
                <w:rFonts w:ascii="Calibri" w:hAnsi="Calibri"/>
              </w:rPr>
            </w:pPr>
          </w:p>
        </w:tc>
        <w:tc>
          <w:tcPr>
            <w:tcW w:w="1527" w:type="dxa"/>
            <w:vMerge/>
            <w:tcBorders>
              <w:top w:val="nil"/>
              <w:left w:val="single" w:sz="4" w:space="0" w:color="auto"/>
              <w:bottom w:val="single" w:sz="4" w:space="0" w:color="auto"/>
              <w:right w:val="single" w:sz="4" w:space="0" w:color="auto"/>
            </w:tcBorders>
            <w:vAlign w:val="center"/>
            <w:hideMark/>
          </w:tcPr>
          <w:p w14:paraId="7A80D2E1" w14:textId="77777777" w:rsidR="002C41BF" w:rsidRPr="002C41BF" w:rsidRDefault="002C41BF" w:rsidP="002C41BF">
            <w:pPr>
              <w:rPr>
                <w:rFonts w:ascii="Calibri" w:hAnsi="Calibri"/>
              </w:rPr>
            </w:pPr>
          </w:p>
        </w:tc>
        <w:tc>
          <w:tcPr>
            <w:tcW w:w="1620" w:type="dxa"/>
            <w:vMerge/>
            <w:tcBorders>
              <w:top w:val="nil"/>
              <w:left w:val="single" w:sz="4" w:space="0" w:color="auto"/>
              <w:bottom w:val="single" w:sz="4" w:space="0" w:color="auto"/>
              <w:right w:val="single" w:sz="4" w:space="0" w:color="auto"/>
            </w:tcBorders>
            <w:vAlign w:val="center"/>
            <w:hideMark/>
          </w:tcPr>
          <w:p w14:paraId="3B26F953" w14:textId="77777777" w:rsidR="002C41BF" w:rsidRPr="002C41BF" w:rsidRDefault="002C41BF" w:rsidP="002C41BF">
            <w:pPr>
              <w:rPr>
                <w:rFonts w:ascii="Calibri" w:hAnsi="Calibri"/>
              </w:rPr>
            </w:pPr>
          </w:p>
        </w:tc>
      </w:tr>
      <w:tr w:rsidR="00EA2D10" w:rsidRPr="002C41BF" w14:paraId="1734E6E4" w14:textId="77777777" w:rsidTr="00EA2D10">
        <w:trPr>
          <w:trHeight w:val="458"/>
        </w:trPr>
        <w:tc>
          <w:tcPr>
            <w:tcW w:w="20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116EAC" w14:textId="77777777" w:rsidR="002C41BF" w:rsidRPr="002C41BF" w:rsidRDefault="002C41BF" w:rsidP="002C41BF">
            <w:pPr>
              <w:rPr>
                <w:rFonts w:ascii="Calibri" w:hAnsi="Calibri"/>
              </w:rPr>
            </w:pPr>
            <w:r w:rsidRPr="002C41BF">
              <w:rPr>
                <w:rFonts w:ascii="Calibri" w:hAnsi="Calibri"/>
              </w:rPr>
              <w:t>IQ_110_119</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61CF85FD" w14:textId="77777777" w:rsidR="002C41BF" w:rsidRPr="002C41BF" w:rsidRDefault="002C41BF" w:rsidP="002C41BF">
            <w:pPr>
              <w:jc w:val="center"/>
              <w:rPr>
                <w:rFonts w:ascii="Calibri" w:hAnsi="Calibri"/>
              </w:rPr>
            </w:pPr>
            <w:r w:rsidRPr="002C41BF">
              <w:rPr>
                <w:rFonts w:ascii="Calibri" w:hAnsi="Calibri"/>
              </w:rPr>
              <w:t> </w:t>
            </w:r>
          </w:p>
        </w:tc>
        <w:tc>
          <w:tcPr>
            <w:tcW w:w="1623" w:type="dxa"/>
            <w:vMerge w:val="restart"/>
            <w:tcBorders>
              <w:top w:val="nil"/>
              <w:left w:val="single" w:sz="4" w:space="0" w:color="auto"/>
              <w:bottom w:val="single" w:sz="4" w:space="0" w:color="auto"/>
              <w:right w:val="single" w:sz="4" w:space="0" w:color="auto"/>
            </w:tcBorders>
            <w:shd w:val="clear" w:color="auto" w:fill="auto"/>
            <w:vAlign w:val="center"/>
            <w:hideMark/>
          </w:tcPr>
          <w:p w14:paraId="71541C04" w14:textId="77777777" w:rsidR="002C41BF" w:rsidRPr="002C41BF" w:rsidRDefault="002C41BF" w:rsidP="002C41BF">
            <w:pPr>
              <w:jc w:val="center"/>
              <w:rPr>
                <w:rFonts w:ascii="Calibri" w:hAnsi="Calibri"/>
              </w:rPr>
            </w:pPr>
            <w:r w:rsidRPr="002C41BF">
              <w:rPr>
                <w:rFonts w:ascii="Calibri" w:hAnsi="Calibri"/>
              </w:rPr>
              <w:t> </w:t>
            </w:r>
          </w:p>
        </w:tc>
        <w:tc>
          <w:tcPr>
            <w:tcW w:w="1527" w:type="dxa"/>
            <w:vMerge w:val="restart"/>
            <w:tcBorders>
              <w:top w:val="nil"/>
              <w:left w:val="single" w:sz="4" w:space="0" w:color="auto"/>
              <w:bottom w:val="single" w:sz="4" w:space="0" w:color="auto"/>
              <w:right w:val="single" w:sz="4" w:space="0" w:color="auto"/>
            </w:tcBorders>
            <w:shd w:val="clear" w:color="auto" w:fill="auto"/>
            <w:vAlign w:val="center"/>
            <w:hideMark/>
          </w:tcPr>
          <w:p w14:paraId="42C3AEE1" w14:textId="77777777" w:rsidR="002C41BF" w:rsidRPr="002C41BF" w:rsidRDefault="002C41BF" w:rsidP="002C41BF">
            <w:pPr>
              <w:jc w:val="center"/>
              <w:rPr>
                <w:rFonts w:ascii="Calibri" w:hAnsi="Calibri"/>
              </w:rPr>
            </w:pPr>
            <w:r w:rsidRPr="002C41BF">
              <w:rPr>
                <w:rFonts w:ascii="Calibri" w:hAnsi="Calibri"/>
              </w:rPr>
              <w:t>9059.94** (2620.58)</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6818B717" w14:textId="77777777" w:rsidR="002C41BF" w:rsidRPr="002C41BF" w:rsidRDefault="002C41BF" w:rsidP="002C41BF">
            <w:pPr>
              <w:jc w:val="center"/>
              <w:rPr>
                <w:rFonts w:ascii="Calibri" w:hAnsi="Calibri"/>
              </w:rPr>
            </w:pPr>
            <w:r w:rsidRPr="002C41BF">
              <w:rPr>
                <w:rFonts w:ascii="Calibri" w:hAnsi="Calibri"/>
              </w:rPr>
              <w:t>4277.63 (3091.11)</w:t>
            </w:r>
          </w:p>
        </w:tc>
      </w:tr>
      <w:tr w:rsidR="00EA2D10" w:rsidRPr="002C41BF" w14:paraId="061C5D49" w14:textId="77777777" w:rsidTr="00EA2D10">
        <w:trPr>
          <w:trHeight w:val="458"/>
        </w:trPr>
        <w:tc>
          <w:tcPr>
            <w:tcW w:w="2070" w:type="dxa"/>
            <w:vMerge/>
            <w:tcBorders>
              <w:top w:val="nil"/>
              <w:left w:val="single" w:sz="4" w:space="0" w:color="auto"/>
              <w:bottom w:val="single" w:sz="4" w:space="0" w:color="auto"/>
              <w:right w:val="single" w:sz="4" w:space="0" w:color="auto"/>
            </w:tcBorders>
            <w:vAlign w:val="center"/>
            <w:hideMark/>
          </w:tcPr>
          <w:p w14:paraId="638A8421" w14:textId="77777777" w:rsidR="002C41BF" w:rsidRPr="002C41BF" w:rsidRDefault="002C41BF" w:rsidP="002C41BF">
            <w:pPr>
              <w:rPr>
                <w:rFonts w:ascii="Calibri" w:hAnsi="Calibri"/>
              </w:rPr>
            </w:pPr>
          </w:p>
        </w:tc>
        <w:tc>
          <w:tcPr>
            <w:tcW w:w="1440" w:type="dxa"/>
            <w:vMerge/>
            <w:tcBorders>
              <w:top w:val="nil"/>
              <w:left w:val="single" w:sz="4" w:space="0" w:color="auto"/>
              <w:bottom w:val="single" w:sz="4" w:space="0" w:color="auto"/>
              <w:right w:val="single" w:sz="4" w:space="0" w:color="auto"/>
            </w:tcBorders>
            <w:vAlign w:val="center"/>
            <w:hideMark/>
          </w:tcPr>
          <w:p w14:paraId="53FBD4E2" w14:textId="77777777" w:rsidR="002C41BF" w:rsidRPr="002C41BF" w:rsidRDefault="002C41BF" w:rsidP="002C41BF">
            <w:pPr>
              <w:rPr>
                <w:rFonts w:ascii="Calibri" w:hAnsi="Calibri"/>
              </w:rPr>
            </w:pPr>
          </w:p>
        </w:tc>
        <w:tc>
          <w:tcPr>
            <w:tcW w:w="1623" w:type="dxa"/>
            <w:vMerge/>
            <w:tcBorders>
              <w:top w:val="nil"/>
              <w:left w:val="single" w:sz="4" w:space="0" w:color="auto"/>
              <w:bottom w:val="single" w:sz="4" w:space="0" w:color="auto"/>
              <w:right w:val="single" w:sz="4" w:space="0" w:color="auto"/>
            </w:tcBorders>
            <w:vAlign w:val="center"/>
            <w:hideMark/>
          </w:tcPr>
          <w:p w14:paraId="7F22B558" w14:textId="77777777" w:rsidR="002C41BF" w:rsidRPr="002C41BF" w:rsidRDefault="002C41BF" w:rsidP="002C41BF">
            <w:pPr>
              <w:rPr>
                <w:rFonts w:ascii="Calibri" w:hAnsi="Calibri"/>
              </w:rPr>
            </w:pPr>
          </w:p>
        </w:tc>
        <w:tc>
          <w:tcPr>
            <w:tcW w:w="1527" w:type="dxa"/>
            <w:vMerge/>
            <w:tcBorders>
              <w:top w:val="nil"/>
              <w:left w:val="single" w:sz="4" w:space="0" w:color="auto"/>
              <w:bottom w:val="single" w:sz="4" w:space="0" w:color="auto"/>
              <w:right w:val="single" w:sz="4" w:space="0" w:color="auto"/>
            </w:tcBorders>
            <w:vAlign w:val="center"/>
            <w:hideMark/>
          </w:tcPr>
          <w:p w14:paraId="7193E99A" w14:textId="77777777" w:rsidR="002C41BF" w:rsidRPr="002C41BF" w:rsidRDefault="002C41BF" w:rsidP="002C41BF">
            <w:pPr>
              <w:rPr>
                <w:rFonts w:ascii="Calibri" w:hAnsi="Calibri"/>
              </w:rPr>
            </w:pPr>
          </w:p>
        </w:tc>
        <w:tc>
          <w:tcPr>
            <w:tcW w:w="1620" w:type="dxa"/>
            <w:vMerge/>
            <w:tcBorders>
              <w:top w:val="nil"/>
              <w:left w:val="single" w:sz="4" w:space="0" w:color="auto"/>
              <w:bottom w:val="single" w:sz="4" w:space="0" w:color="auto"/>
              <w:right w:val="single" w:sz="4" w:space="0" w:color="auto"/>
            </w:tcBorders>
            <w:vAlign w:val="center"/>
            <w:hideMark/>
          </w:tcPr>
          <w:p w14:paraId="5275A3DE" w14:textId="77777777" w:rsidR="002C41BF" w:rsidRPr="002C41BF" w:rsidRDefault="002C41BF" w:rsidP="002C41BF">
            <w:pPr>
              <w:rPr>
                <w:rFonts w:ascii="Calibri" w:hAnsi="Calibri"/>
              </w:rPr>
            </w:pPr>
          </w:p>
        </w:tc>
      </w:tr>
      <w:tr w:rsidR="00EA2D10" w:rsidRPr="002C41BF" w14:paraId="506C0184" w14:textId="77777777" w:rsidTr="00EA2D10">
        <w:trPr>
          <w:trHeight w:val="458"/>
        </w:trPr>
        <w:tc>
          <w:tcPr>
            <w:tcW w:w="20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3360A3" w14:textId="77777777" w:rsidR="002C41BF" w:rsidRPr="002C41BF" w:rsidRDefault="002C41BF" w:rsidP="002C41BF">
            <w:pPr>
              <w:rPr>
                <w:rFonts w:ascii="Calibri" w:hAnsi="Calibri"/>
              </w:rPr>
            </w:pPr>
            <w:r w:rsidRPr="002C41BF">
              <w:rPr>
                <w:rFonts w:ascii="Calibri" w:hAnsi="Calibri"/>
              </w:rPr>
              <w:t>IQ_Greater_120</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130EF9A7" w14:textId="4F5040C3" w:rsidR="002C41BF" w:rsidRPr="002C41BF" w:rsidRDefault="002C41BF" w:rsidP="002C41BF">
            <w:pPr>
              <w:jc w:val="center"/>
              <w:rPr>
                <w:rFonts w:ascii="Calibri" w:hAnsi="Calibri"/>
              </w:rPr>
            </w:pPr>
          </w:p>
        </w:tc>
        <w:tc>
          <w:tcPr>
            <w:tcW w:w="1623" w:type="dxa"/>
            <w:vMerge w:val="restart"/>
            <w:tcBorders>
              <w:top w:val="nil"/>
              <w:left w:val="single" w:sz="4" w:space="0" w:color="auto"/>
              <w:bottom w:val="single" w:sz="4" w:space="0" w:color="auto"/>
              <w:right w:val="single" w:sz="4" w:space="0" w:color="auto"/>
            </w:tcBorders>
            <w:shd w:val="clear" w:color="auto" w:fill="auto"/>
            <w:vAlign w:val="center"/>
            <w:hideMark/>
          </w:tcPr>
          <w:p w14:paraId="6420BE7F" w14:textId="77777777" w:rsidR="002C41BF" w:rsidRDefault="002C41BF" w:rsidP="002C41BF">
            <w:pPr>
              <w:jc w:val="center"/>
              <w:rPr>
                <w:rFonts w:ascii="Calibri" w:hAnsi="Calibri"/>
              </w:rPr>
            </w:pPr>
            <w:r w:rsidRPr="002C41BF">
              <w:rPr>
                <w:rFonts w:ascii="Calibri" w:hAnsi="Calibri"/>
              </w:rPr>
              <w:t> </w:t>
            </w:r>
          </w:p>
          <w:p w14:paraId="3D421254" w14:textId="77777777" w:rsidR="00D03E95" w:rsidRDefault="00D03E95" w:rsidP="00D03E95">
            <w:pPr>
              <w:rPr>
                <w:rFonts w:ascii="Calibri" w:hAnsi="Calibri"/>
              </w:rPr>
            </w:pPr>
          </w:p>
          <w:p w14:paraId="408C2421" w14:textId="5738E8A6" w:rsidR="00D03E95" w:rsidRPr="00D03E95" w:rsidRDefault="00D03E95" w:rsidP="00D03E95">
            <w:pPr>
              <w:rPr>
                <w:rFonts w:ascii="Calibri" w:hAnsi="Calibri"/>
              </w:rPr>
            </w:pPr>
          </w:p>
        </w:tc>
        <w:tc>
          <w:tcPr>
            <w:tcW w:w="1527" w:type="dxa"/>
            <w:vMerge w:val="restart"/>
            <w:tcBorders>
              <w:top w:val="nil"/>
              <w:left w:val="single" w:sz="4" w:space="0" w:color="auto"/>
              <w:bottom w:val="single" w:sz="4" w:space="0" w:color="auto"/>
              <w:right w:val="single" w:sz="4" w:space="0" w:color="auto"/>
            </w:tcBorders>
            <w:shd w:val="clear" w:color="auto" w:fill="auto"/>
            <w:vAlign w:val="center"/>
            <w:hideMark/>
          </w:tcPr>
          <w:p w14:paraId="5B52E31F" w14:textId="77777777" w:rsidR="002C41BF" w:rsidRPr="002C41BF" w:rsidRDefault="002C41BF" w:rsidP="002C41BF">
            <w:pPr>
              <w:jc w:val="center"/>
              <w:rPr>
                <w:rFonts w:ascii="Calibri" w:hAnsi="Calibri"/>
              </w:rPr>
            </w:pPr>
            <w:r w:rsidRPr="002C41BF">
              <w:rPr>
                <w:rFonts w:ascii="Calibri" w:hAnsi="Calibri"/>
              </w:rPr>
              <w:t>20478.31** (3121.86)</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5E01400" w14:textId="77777777" w:rsidR="002C41BF" w:rsidRPr="002C41BF" w:rsidRDefault="002C41BF" w:rsidP="002C41BF">
            <w:pPr>
              <w:jc w:val="center"/>
              <w:rPr>
                <w:rFonts w:ascii="Calibri" w:hAnsi="Calibri"/>
              </w:rPr>
            </w:pPr>
            <w:r w:rsidRPr="002C41BF">
              <w:rPr>
                <w:rFonts w:ascii="Calibri" w:hAnsi="Calibri"/>
              </w:rPr>
              <w:t>2319.06 (5119.49)</w:t>
            </w:r>
          </w:p>
        </w:tc>
      </w:tr>
      <w:tr w:rsidR="00EA2D10" w:rsidRPr="002C41BF" w14:paraId="533CBBA3" w14:textId="77777777" w:rsidTr="00F00738">
        <w:trPr>
          <w:trHeight w:val="458"/>
        </w:trPr>
        <w:tc>
          <w:tcPr>
            <w:tcW w:w="2070" w:type="dxa"/>
            <w:vMerge/>
            <w:tcBorders>
              <w:top w:val="nil"/>
              <w:left w:val="single" w:sz="4" w:space="0" w:color="auto"/>
              <w:bottom w:val="single" w:sz="4" w:space="0" w:color="auto"/>
              <w:right w:val="single" w:sz="4" w:space="0" w:color="auto"/>
            </w:tcBorders>
            <w:vAlign w:val="center"/>
            <w:hideMark/>
          </w:tcPr>
          <w:p w14:paraId="5A8303A9" w14:textId="77777777" w:rsidR="002C41BF" w:rsidRPr="002C41BF" w:rsidRDefault="002C41BF" w:rsidP="002C41BF">
            <w:pPr>
              <w:rPr>
                <w:rFonts w:ascii="Calibri" w:hAnsi="Calibri"/>
              </w:rPr>
            </w:pPr>
          </w:p>
        </w:tc>
        <w:tc>
          <w:tcPr>
            <w:tcW w:w="1440" w:type="dxa"/>
            <w:vMerge/>
            <w:tcBorders>
              <w:top w:val="nil"/>
              <w:left w:val="single" w:sz="4" w:space="0" w:color="auto"/>
              <w:bottom w:val="single" w:sz="4" w:space="0" w:color="auto"/>
              <w:right w:val="single" w:sz="4" w:space="0" w:color="auto"/>
            </w:tcBorders>
            <w:vAlign w:val="center"/>
            <w:hideMark/>
          </w:tcPr>
          <w:p w14:paraId="6F305B02" w14:textId="77777777" w:rsidR="002C41BF" w:rsidRPr="002C41BF" w:rsidRDefault="002C41BF" w:rsidP="002C41BF">
            <w:pPr>
              <w:rPr>
                <w:rFonts w:ascii="Calibri" w:hAnsi="Calibri"/>
              </w:rPr>
            </w:pPr>
          </w:p>
        </w:tc>
        <w:tc>
          <w:tcPr>
            <w:tcW w:w="1623" w:type="dxa"/>
            <w:vMerge/>
            <w:tcBorders>
              <w:top w:val="nil"/>
              <w:left w:val="single" w:sz="4" w:space="0" w:color="auto"/>
              <w:bottom w:val="single" w:sz="4" w:space="0" w:color="auto"/>
              <w:right w:val="single" w:sz="4" w:space="0" w:color="auto"/>
            </w:tcBorders>
            <w:vAlign w:val="center"/>
            <w:hideMark/>
          </w:tcPr>
          <w:p w14:paraId="2D205C28" w14:textId="77777777" w:rsidR="002C41BF" w:rsidRPr="002C41BF" w:rsidRDefault="002C41BF" w:rsidP="002C41BF">
            <w:pPr>
              <w:rPr>
                <w:rFonts w:ascii="Calibri" w:hAnsi="Calibri"/>
              </w:rPr>
            </w:pPr>
          </w:p>
        </w:tc>
        <w:tc>
          <w:tcPr>
            <w:tcW w:w="1527" w:type="dxa"/>
            <w:vMerge/>
            <w:tcBorders>
              <w:top w:val="nil"/>
              <w:left w:val="single" w:sz="4" w:space="0" w:color="auto"/>
              <w:bottom w:val="single" w:sz="4" w:space="0" w:color="auto"/>
              <w:right w:val="single" w:sz="4" w:space="0" w:color="auto"/>
            </w:tcBorders>
            <w:vAlign w:val="center"/>
            <w:hideMark/>
          </w:tcPr>
          <w:p w14:paraId="4D7C2AE5" w14:textId="77777777" w:rsidR="002C41BF" w:rsidRPr="002C41BF" w:rsidRDefault="002C41BF" w:rsidP="002C41BF">
            <w:pPr>
              <w:rPr>
                <w:rFonts w:ascii="Calibri" w:hAnsi="Calibri"/>
              </w:rPr>
            </w:pPr>
          </w:p>
        </w:tc>
        <w:tc>
          <w:tcPr>
            <w:tcW w:w="1620" w:type="dxa"/>
            <w:vMerge/>
            <w:tcBorders>
              <w:top w:val="nil"/>
              <w:left w:val="single" w:sz="4" w:space="0" w:color="auto"/>
              <w:bottom w:val="single" w:sz="4" w:space="0" w:color="auto"/>
              <w:right w:val="single" w:sz="4" w:space="0" w:color="auto"/>
            </w:tcBorders>
            <w:vAlign w:val="center"/>
            <w:hideMark/>
          </w:tcPr>
          <w:p w14:paraId="2F866E28" w14:textId="77777777" w:rsidR="002C41BF" w:rsidRPr="002C41BF" w:rsidRDefault="002C41BF" w:rsidP="002C41BF">
            <w:pPr>
              <w:rPr>
                <w:rFonts w:ascii="Calibri" w:hAnsi="Calibri"/>
              </w:rPr>
            </w:pPr>
          </w:p>
        </w:tc>
      </w:tr>
      <w:tr w:rsidR="00F00738" w:rsidRPr="002C41BF" w14:paraId="3ADE5691" w14:textId="77777777" w:rsidTr="004B3E80">
        <w:trPr>
          <w:trHeight w:val="458"/>
        </w:trPr>
        <w:tc>
          <w:tcPr>
            <w:tcW w:w="8280" w:type="dxa"/>
            <w:gridSpan w:val="5"/>
            <w:tcBorders>
              <w:top w:val="single" w:sz="4" w:space="0" w:color="auto"/>
            </w:tcBorders>
            <w:vAlign w:val="center"/>
          </w:tcPr>
          <w:p w14:paraId="0562D051" w14:textId="5FC7D96D" w:rsidR="00F00738" w:rsidRPr="00F00738" w:rsidRDefault="00F00738" w:rsidP="002C41BF">
            <w:pPr>
              <w:rPr>
                <w:rFonts w:ascii="Calibri" w:hAnsi="Calibri"/>
                <w:sz w:val="16"/>
                <w:szCs w:val="16"/>
              </w:rPr>
            </w:pPr>
            <w:r>
              <w:rPr>
                <w:rFonts w:ascii="Calibri" w:hAnsi="Calibri"/>
                <w:sz w:val="16"/>
                <w:szCs w:val="16"/>
              </w:rPr>
              <w:t>*</w:t>
            </w:r>
            <w:r w:rsidRPr="00F00738">
              <w:rPr>
                <w:rFonts w:ascii="Calibri" w:hAnsi="Calibri"/>
                <w:sz w:val="16"/>
                <w:szCs w:val="16"/>
              </w:rPr>
              <w:t>Continued on next page</w:t>
            </w:r>
          </w:p>
        </w:tc>
      </w:tr>
    </w:tbl>
    <w:tbl>
      <w:tblPr>
        <w:tblpPr w:leftFromText="180" w:rightFromText="180" w:vertAnchor="text" w:tblpY="-190"/>
        <w:tblOverlap w:val="neve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440"/>
        <w:gridCol w:w="1620"/>
        <w:gridCol w:w="1530"/>
        <w:gridCol w:w="1620"/>
      </w:tblGrid>
      <w:tr w:rsidR="009D5817" w:rsidRPr="002C41BF" w14:paraId="7EE9BD4A" w14:textId="77777777" w:rsidTr="00EA2D10">
        <w:trPr>
          <w:trHeight w:val="408"/>
        </w:trPr>
        <w:tc>
          <w:tcPr>
            <w:tcW w:w="2065" w:type="dxa"/>
            <w:shd w:val="clear" w:color="auto" w:fill="auto"/>
            <w:noWrap/>
            <w:vAlign w:val="center"/>
          </w:tcPr>
          <w:p w14:paraId="54B4BC8C" w14:textId="77777777" w:rsidR="009D5817" w:rsidRPr="002C41BF" w:rsidRDefault="009D5817" w:rsidP="009D5817">
            <w:pPr>
              <w:rPr>
                <w:rFonts w:ascii="Calibri" w:hAnsi="Calibri"/>
              </w:rPr>
            </w:pPr>
            <w:r w:rsidRPr="002C41BF">
              <w:rPr>
                <w:rFonts w:ascii="Calibri" w:hAnsi="Calibri"/>
              </w:rPr>
              <w:lastRenderedPageBreak/>
              <w:t> </w:t>
            </w:r>
          </w:p>
        </w:tc>
        <w:tc>
          <w:tcPr>
            <w:tcW w:w="1440" w:type="dxa"/>
            <w:shd w:val="clear" w:color="auto" w:fill="auto"/>
            <w:vAlign w:val="center"/>
          </w:tcPr>
          <w:p w14:paraId="34B22C2A" w14:textId="77777777" w:rsidR="009D5817" w:rsidRPr="002C41BF" w:rsidRDefault="009D5817" w:rsidP="009D5817">
            <w:pPr>
              <w:jc w:val="center"/>
              <w:rPr>
                <w:rFonts w:ascii="Calibri" w:hAnsi="Calibri"/>
              </w:rPr>
            </w:pPr>
            <w:r w:rsidRPr="002C41BF">
              <w:rPr>
                <w:rFonts w:ascii="Calibri" w:hAnsi="Calibri"/>
                <w:b/>
                <w:bCs/>
              </w:rPr>
              <w:t>A</w:t>
            </w:r>
          </w:p>
        </w:tc>
        <w:tc>
          <w:tcPr>
            <w:tcW w:w="1620" w:type="dxa"/>
            <w:shd w:val="clear" w:color="auto" w:fill="auto"/>
            <w:vAlign w:val="center"/>
          </w:tcPr>
          <w:p w14:paraId="325510EA" w14:textId="77777777" w:rsidR="009D5817" w:rsidRPr="002C41BF" w:rsidRDefault="009D5817" w:rsidP="009D5817">
            <w:pPr>
              <w:jc w:val="center"/>
              <w:rPr>
                <w:rFonts w:ascii="Calibri" w:hAnsi="Calibri"/>
              </w:rPr>
            </w:pPr>
            <w:r w:rsidRPr="002C41BF">
              <w:rPr>
                <w:rFonts w:ascii="Calibri" w:hAnsi="Calibri"/>
                <w:b/>
                <w:bCs/>
              </w:rPr>
              <w:t>B</w:t>
            </w:r>
          </w:p>
        </w:tc>
        <w:tc>
          <w:tcPr>
            <w:tcW w:w="1530" w:type="dxa"/>
            <w:shd w:val="clear" w:color="auto" w:fill="auto"/>
            <w:vAlign w:val="center"/>
          </w:tcPr>
          <w:p w14:paraId="0476A9B1" w14:textId="77777777" w:rsidR="009D5817" w:rsidRPr="002C41BF" w:rsidRDefault="009D5817" w:rsidP="009D5817">
            <w:pPr>
              <w:jc w:val="center"/>
              <w:rPr>
                <w:rFonts w:ascii="Calibri" w:hAnsi="Calibri"/>
              </w:rPr>
            </w:pPr>
            <w:r w:rsidRPr="002C41BF">
              <w:rPr>
                <w:rFonts w:ascii="Calibri" w:hAnsi="Calibri"/>
                <w:b/>
                <w:bCs/>
              </w:rPr>
              <w:t>C</w:t>
            </w:r>
          </w:p>
        </w:tc>
        <w:tc>
          <w:tcPr>
            <w:tcW w:w="1620" w:type="dxa"/>
            <w:shd w:val="clear" w:color="auto" w:fill="auto"/>
            <w:vAlign w:val="center"/>
          </w:tcPr>
          <w:p w14:paraId="5758A61E" w14:textId="77777777" w:rsidR="009D5817" w:rsidRPr="002C41BF" w:rsidRDefault="009D5817" w:rsidP="009D5817">
            <w:pPr>
              <w:jc w:val="center"/>
              <w:rPr>
                <w:rFonts w:ascii="Calibri" w:hAnsi="Calibri"/>
              </w:rPr>
            </w:pPr>
            <w:r w:rsidRPr="002C41BF">
              <w:rPr>
                <w:rFonts w:ascii="Calibri" w:hAnsi="Calibri"/>
                <w:b/>
                <w:bCs/>
              </w:rPr>
              <w:t>D</w:t>
            </w:r>
          </w:p>
        </w:tc>
      </w:tr>
      <w:tr w:rsidR="009D5817" w:rsidRPr="002C41BF" w14:paraId="6255A690" w14:textId="77777777" w:rsidTr="00EA2D10">
        <w:trPr>
          <w:trHeight w:val="458"/>
        </w:trPr>
        <w:tc>
          <w:tcPr>
            <w:tcW w:w="2065" w:type="dxa"/>
            <w:vMerge w:val="restart"/>
            <w:shd w:val="clear" w:color="auto" w:fill="auto"/>
            <w:noWrap/>
            <w:vAlign w:val="center"/>
            <w:hideMark/>
          </w:tcPr>
          <w:p w14:paraId="680FAB67" w14:textId="77777777" w:rsidR="009D5817" w:rsidRPr="002C41BF" w:rsidRDefault="009D5817" w:rsidP="009D5817">
            <w:pPr>
              <w:rPr>
                <w:rFonts w:ascii="Calibri" w:hAnsi="Calibri"/>
              </w:rPr>
            </w:pPr>
            <w:r w:rsidRPr="002C41BF">
              <w:rPr>
                <w:rFonts w:ascii="Calibri" w:hAnsi="Calibri"/>
              </w:rPr>
              <w:t>ColGrad_IQ_110</w:t>
            </w:r>
          </w:p>
        </w:tc>
        <w:tc>
          <w:tcPr>
            <w:tcW w:w="1440" w:type="dxa"/>
            <w:vMerge w:val="restart"/>
            <w:shd w:val="clear" w:color="auto" w:fill="auto"/>
            <w:vAlign w:val="center"/>
            <w:hideMark/>
          </w:tcPr>
          <w:p w14:paraId="3C2F816F"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05855233" w14:textId="77777777" w:rsidR="009D5817" w:rsidRPr="002C41BF" w:rsidRDefault="009D5817" w:rsidP="009D5817">
            <w:pPr>
              <w:jc w:val="center"/>
              <w:rPr>
                <w:rFonts w:ascii="Calibri" w:hAnsi="Calibri"/>
              </w:rPr>
            </w:pPr>
            <w:r w:rsidRPr="002C41BF">
              <w:rPr>
                <w:rFonts w:ascii="Calibri" w:hAnsi="Calibri"/>
              </w:rPr>
              <w:t> </w:t>
            </w:r>
          </w:p>
        </w:tc>
        <w:tc>
          <w:tcPr>
            <w:tcW w:w="1530" w:type="dxa"/>
            <w:vMerge w:val="restart"/>
            <w:shd w:val="clear" w:color="auto" w:fill="auto"/>
            <w:vAlign w:val="center"/>
            <w:hideMark/>
          </w:tcPr>
          <w:p w14:paraId="66AF1DF4"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671D1904" w14:textId="77777777" w:rsidR="009D5817" w:rsidRPr="002C41BF" w:rsidRDefault="009D5817" w:rsidP="009D5817">
            <w:pPr>
              <w:jc w:val="center"/>
              <w:rPr>
                <w:rFonts w:ascii="Calibri" w:hAnsi="Calibri"/>
              </w:rPr>
            </w:pPr>
            <w:r w:rsidRPr="002C41BF">
              <w:rPr>
                <w:rFonts w:ascii="Calibri" w:hAnsi="Calibri"/>
              </w:rPr>
              <w:t>15077.81** (4610.25)</w:t>
            </w:r>
          </w:p>
        </w:tc>
      </w:tr>
      <w:tr w:rsidR="009D5817" w:rsidRPr="002C41BF" w14:paraId="14A08620" w14:textId="77777777" w:rsidTr="00EA2D10">
        <w:trPr>
          <w:trHeight w:val="458"/>
        </w:trPr>
        <w:tc>
          <w:tcPr>
            <w:tcW w:w="2065" w:type="dxa"/>
            <w:vMerge/>
            <w:vAlign w:val="center"/>
            <w:hideMark/>
          </w:tcPr>
          <w:p w14:paraId="0AE3C2AD" w14:textId="77777777" w:rsidR="009D5817" w:rsidRPr="002C41BF" w:rsidRDefault="009D5817" w:rsidP="009D5817">
            <w:pPr>
              <w:rPr>
                <w:rFonts w:ascii="Calibri" w:hAnsi="Calibri"/>
              </w:rPr>
            </w:pPr>
          </w:p>
        </w:tc>
        <w:tc>
          <w:tcPr>
            <w:tcW w:w="1440" w:type="dxa"/>
            <w:vMerge/>
            <w:vAlign w:val="center"/>
            <w:hideMark/>
          </w:tcPr>
          <w:p w14:paraId="5EB00A96" w14:textId="77777777" w:rsidR="009D5817" w:rsidRPr="002C41BF" w:rsidRDefault="009D5817" w:rsidP="009D5817">
            <w:pPr>
              <w:rPr>
                <w:rFonts w:ascii="Calibri" w:hAnsi="Calibri"/>
              </w:rPr>
            </w:pPr>
          </w:p>
        </w:tc>
        <w:tc>
          <w:tcPr>
            <w:tcW w:w="1620" w:type="dxa"/>
            <w:vMerge/>
            <w:vAlign w:val="center"/>
            <w:hideMark/>
          </w:tcPr>
          <w:p w14:paraId="22930EFC" w14:textId="77777777" w:rsidR="009D5817" w:rsidRPr="002C41BF" w:rsidRDefault="009D5817" w:rsidP="009D5817">
            <w:pPr>
              <w:rPr>
                <w:rFonts w:ascii="Calibri" w:hAnsi="Calibri"/>
              </w:rPr>
            </w:pPr>
          </w:p>
        </w:tc>
        <w:tc>
          <w:tcPr>
            <w:tcW w:w="1530" w:type="dxa"/>
            <w:vMerge/>
            <w:vAlign w:val="center"/>
            <w:hideMark/>
          </w:tcPr>
          <w:p w14:paraId="7EB2A200" w14:textId="77777777" w:rsidR="009D5817" w:rsidRPr="002C41BF" w:rsidRDefault="009D5817" w:rsidP="009D5817">
            <w:pPr>
              <w:rPr>
                <w:rFonts w:ascii="Calibri" w:hAnsi="Calibri"/>
              </w:rPr>
            </w:pPr>
          </w:p>
        </w:tc>
        <w:tc>
          <w:tcPr>
            <w:tcW w:w="1620" w:type="dxa"/>
            <w:vMerge/>
            <w:vAlign w:val="center"/>
            <w:hideMark/>
          </w:tcPr>
          <w:p w14:paraId="25FDCCA4" w14:textId="77777777" w:rsidR="009D5817" w:rsidRPr="002C41BF" w:rsidRDefault="009D5817" w:rsidP="009D5817">
            <w:pPr>
              <w:rPr>
                <w:rFonts w:ascii="Calibri" w:hAnsi="Calibri"/>
              </w:rPr>
            </w:pPr>
          </w:p>
        </w:tc>
      </w:tr>
      <w:tr w:rsidR="009D5817" w:rsidRPr="002C41BF" w14:paraId="2379AD1A" w14:textId="77777777" w:rsidTr="00EA2D10">
        <w:trPr>
          <w:trHeight w:val="458"/>
        </w:trPr>
        <w:tc>
          <w:tcPr>
            <w:tcW w:w="2065" w:type="dxa"/>
            <w:vMerge w:val="restart"/>
            <w:shd w:val="clear" w:color="auto" w:fill="auto"/>
            <w:noWrap/>
            <w:vAlign w:val="center"/>
            <w:hideMark/>
          </w:tcPr>
          <w:p w14:paraId="6D46253B" w14:textId="77777777" w:rsidR="009D5817" w:rsidRPr="002C41BF" w:rsidRDefault="009D5817" w:rsidP="009D5817">
            <w:pPr>
              <w:rPr>
                <w:rFonts w:ascii="Calibri" w:hAnsi="Calibri"/>
              </w:rPr>
            </w:pPr>
            <w:r w:rsidRPr="002C41BF">
              <w:rPr>
                <w:rFonts w:ascii="Calibri" w:hAnsi="Calibri"/>
              </w:rPr>
              <w:t>ColGrad_IQ_120</w:t>
            </w:r>
          </w:p>
        </w:tc>
        <w:tc>
          <w:tcPr>
            <w:tcW w:w="1440" w:type="dxa"/>
            <w:vMerge w:val="restart"/>
            <w:shd w:val="clear" w:color="auto" w:fill="auto"/>
            <w:vAlign w:val="center"/>
            <w:hideMark/>
          </w:tcPr>
          <w:p w14:paraId="370F3DB2"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5EBEB9D7" w14:textId="77777777" w:rsidR="009D5817" w:rsidRPr="002C41BF" w:rsidRDefault="009D5817" w:rsidP="009D5817">
            <w:pPr>
              <w:jc w:val="center"/>
              <w:rPr>
                <w:rFonts w:ascii="Calibri" w:hAnsi="Calibri"/>
              </w:rPr>
            </w:pPr>
            <w:r w:rsidRPr="002C41BF">
              <w:rPr>
                <w:rFonts w:ascii="Calibri" w:hAnsi="Calibri"/>
              </w:rPr>
              <w:t> </w:t>
            </w:r>
          </w:p>
        </w:tc>
        <w:tc>
          <w:tcPr>
            <w:tcW w:w="1530" w:type="dxa"/>
            <w:vMerge w:val="restart"/>
            <w:shd w:val="clear" w:color="auto" w:fill="auto"/>
            <w:vAlign w:val="center"/>
            <w:hideMark/>
          </w:tcPr>
          <w:p w14:paraId="55EC67B0"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6952AB11" w14:textId="77777777" w:rsidR="009D5817" w:rsidRPr="002C41BF" w:rsidRDefault="009D5817" w:rsidP="009D5817">
            <w:pPr>
              <w:jc w:val="center"/>
              <w:rPr>
                <w:rFonts w:ascii="Calibri" w:hAnsi="Calibri"/>
              </w:rPr>
            </w:pPr>
            <w:r w:rsidRPr="002C41BF">
              <w:rPr>
                <w:rFonts w:ascii="Calibri" w:hAnsi="Calibri"/>
              </w:rPr>
              <w:t>30144.18** (6092.73)</w:t>
            </w:r>
          </w:p>
        </w:tc>
      </w:tr>
      <w:tr w:rsidR="009D5817" w:rsidRPr="002C41BF" w14:paraId="6235D845" w14:textId="77777777" w:rsidTr="00EA2D10">
        <w:trPr>
          <w:trHeight w:val="458"/>
        </w:trPr>
        <w:tc>
          <w:tcPr>
            <w:tcW w:w="2065" w:type="dxa"/>
            <w:vMerge/>
            <w:vAlign w:val="center"/>
            <w:hideMark/>
          </w:tcPr>
          <w:p w14:paraId="0DF296F0" w14:textId="77777777" w:rsidR="009D5817" w:rsidRPr="002C41BF" w:rsidRDefault="009D5817" w:rsidP="009D5817">
            <w:pPr>
              <w:rPr>
                <w:rFonts w:ascii="Calibri" w:hAnsi="Calibri"/>
              </w:rPr>
            </w:pPr>
          </w:p>
        </w:tc>
        <w:tc>
          <w:tcPr>
            <w:tcW w:w="1440" w:type="dxa"/>
            <w:vMerge/>
            <w:vAlign w:val="center"/>
            <w:hideMark/>
          </w:tcPr>
          <w:p w14:paraId="2E953C85" w14:textId="77777777" w:rsidR="009D5817" w:rsidRPr="002C41BF" w:rsidRDefault="009D5817" w:rsidP="009D5817">
            <w:pPr>
              <w:rPr>
                <w:rFonts w:ascii="Calibri" w:hAnsi="Calibri"/>
              </w:rPr>
            </w:pPr>
          </w:p>
        </w:tc>
        <w:tc>
          <w:tcPr>
            <w:tcW w:w="1620" w:type="dxa"/>
            <w:vMerge/>
            <w:vAlign w:val="center"/>
            <w:hideMark/>
          </w:tcPr>
          <w:p w14:paraId="2E3F9129" w14:textId="77777777" w:rsidR="009D5817" w:rsidRPr="002C41BF" w:rsidRDefault="009D5817" w:rsidP="009D5817">
            <w:pPr>
              <w:rPr>
                <w:rFonts w:ascii="Calibri" w:hAnsi="Calibri"/>
              </w:rPr>
            </w:pPr>
          </w:p>
        </w:tc>
        <w:tc>
          <w:tcPr>
            <w:tcW w:w="1530" w:type="dxa"/>
            <w:vMerge/>
            <w:vAlign w:val="center"/>
            <w:hideMark/>
          </w:tcPr>
          <w:p w14:paraId="57B09960" w14:textId="77777777" w:rsidR="009D5817" w:rsidRPr="002C41BF" w:rsidRDefault="009D5817" w:rsidP="009D5817">
            <w:pPr>
              <w:rPr>
                <w:rFonts w:ascii="Calibri" w:hAnsi="Calibri"/>
              </w:rPr>
            </w:pPr>
          </w:p>
        </w:tc>
        <w:tc>
          <w:tcPr>
            <w:tcW w:w="1620" w:type="dxa"/>
            <w:vMerge/>
            <w:vAlign w:val="center"/>
            <w:hideMark/>
          </w:tcPr>
          <w:p w14:paraId="2CF8DCA8" w14:textId="77777777" w:rsidR="009D5817" w:rsidRPr="002C41BF" w:rsidRDefault="009D5817" w:rsidP="009D5817">
            <w:pPr>
              <w:rPr>
                <w:rFonts w:ascii="Calibri" w:hAnsi="Calibri"/>
              </w:rPr>
            </w:pPr>
          </w:p>
        </w:tc>
      </w:tr>
      <w:tr w:rsidR="009D5817" w:rsidRPr="002C41BF" w14:paraId="4C817931" w14:textId="77777777" w:rsidTr="00EA2D10">
        <w:trPr>
          <w:trHeight w:val="458"/>
        </w:trPr>
        <w:tc>
          <w:tcPr>
            <w:tcW w:w="2065" w:type="dxa"/>
            <w:vMerge w:val="restart"/>
            <w:shd w:val="clear" w:color="auto" w:fill="auto"/>
            <w:noWrap/>
            <w:vAlign w:val="center"/>
            <w:hideMark/>
          </w:tcPr>
          <w:p w14:paraId="46B6B498" w14:textId="77777777" w:rsidR="009D5817" w:rsidRPr="002C41BF" w:rsidRDefault="009D5817" w:rsidP="009D5817">
            <w:pPr>
              <w:rPr>
                <w:rFonts w:ascii="Calibri" w:hAnsi="Calibri"/>
              </w:rPr>
            </w:pPr>
            <w:r w:rsidRPr="002C41BF">
              <w:rPr>
                <w:rFonts w:ascii="Calibri" w:hAnsi="Calibri"/>
              </w:rPr>
              <w:t>Hours</w:t>
            </w:r>
          </w:p>
        </w:tc>
        <w:tc>
          <w:tcPr>
            <w:tcW w:w="1440" w:type="dxa"/>
            <w:vMerge w:val="restart"/>
            <w:shd w:val="clear" w:color="auto" w:fill="auto"/>
            <w:vAlign w:val="center"/>
            <w:hideMark/>
          </w:tcPr>
          <w:p w14:paraId="6A3B09C7"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75F2F9F8" w14:textId="77777777" w:rsidR="009D5817" w:rsidRPr="002C41BF" w:rsidRDefault="009D5817" w:rsidP="009D5817">
            <w:pPr>
              <w:jc w:val="center"/>
              <w:rPr>
                <w:rFonts w:ascii="Calibri" w:hAnsi="Calibri"/>
              </w:rPr>
            </w:pPr>
            <w:r w:rsidRPr="002C41BF">
              <w:rPr>
                <w:rFonts w:ascii="Calibri" w:hAnsi="Calibri"/>
              </w:rPr>
              <w:t> </w:t>
            </w:r>
          </w:p>
        </w:tc>
        <w:tc>
          <w:tcPr>
            <w:tcW w:w="1530" w:type="dxa"/>
            <w:vMerge w:val="restart"/>
            <w:shd w:val="clear" w:color="auto" w:fill="auto"/>
            <w:vAlign w:val="center"/>
            <w:hideMark/>
          </w:tcPr>
          <w:p w14:paraId="056CA7C4"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346CC9AB" w14:textId="77777777" w:rsidR="009D5817" w:rsidRPr="002C41BF" w:rsidRDefault="009D5817" w:rsidP="009D5817">
            <w:pPr>
              <w:jc w:val="center"/>
              <w:rPr>
                <w:rFonts w:ascii="Calibri" w:hAnsi="Calibri"/>
              </w:rPr>
            </w:pPr>
            <w:r w:rsidRPr="002C41BF">
              <w:rPr>
                <w:rFonts w:ascii="Calibri" w:hAnsi="Calibri"/>
              </w:rPr>
              <w:t>702.54** (49.90)</w:t>
            </w:r>
          </w:p>
        </w:tc>
      </w:tr>
      <w:tr w:rsidR="009D5817" w:rsidRPr="002C41BF" w14:paraId="54308260" w14:textId="77777777" w:rsidTr="00EA2D10">
        <w:trPr>
          <w:trHeight w:val="458"/>
        </w:trPr>
        <w:tc>
          <w:tcPr>
            <w:tcW w:w="2065" w:type="dxa"/>
            <w:vMerge/>
            <w:vAlign w:val="center"/>
            <w:hideMark/>
          </w:tcPr>
          <w:p w14:paraId="1E131F00" w14:textId="77777777" w:rsidR="009D5817" w:rsidRPr="002C41BF" w:rsidRDefault="009D5817" w:rsidP="009D5817">
            <w:pPr>
              <w:rPr>
                <w:rFonts w:ascii="Calibri" w:hAnsi="Calibri"/>
              </w:rPr>
            </w:pPr>
          </w:p>
        </w:tc>
        <w:tc>
          <w:tcPr>
            <w:tcW w:w="1440" w:type="dxa"/>
            <w:vMerge/>
            <w:vAlign w:val="center"/>
            <w:hideMark/>
          </w:tcPr>
          <w:p w14:paraId="5E990071" w14:textId="77777777" w:rsidR="009D5817" w:rsidRPr="002C41BF" w:rsidRDefault="009D5817" w:rsidP="009D5817">
            <w:pPr>
              <w:rPr>
                <w:rFonts w:ascii="Calibri" w:hAnsi="Calibri"/>
              </w:rPr>
            </w:pPr>
          </w:p>
        </w:tc>
        <w:tc>
          <w:tcPr>
            <w:tcW w:w="1620" w:type="dxa"/>
            <w:vMerge/>
            <w:vAlign w:val="center"/>
            <w:hideMark/>
          </w:tcPr>
          <w:p w14:paraId="2EB2C6CB" w14:textId="77777777" w:rsidR="009D5817" w:rsidRPr="002C41BF" w:rsidRDefault="009D5817" w:rsidP="009D5817">
            <w:pPr>
              <w:rPr>
                <w:rFonts w:ascii="Calibri" w:hAnsi="Calibri"/>
              </w:rPr>
            </w:pPr>
          </w:p>
        </w:tc>
        <w:tc>
          <w:tcPr>
            <w:tcW w:w="1530" w:type="dxa"/>
            <w:vMerge/>
            <w:vAlign w:val="center"/>
            <w:hideMark/>
          </w:tcPr>
          <w:p w14:paraId="1B812820" w14:textId="77777777" w:rsidR="009D5817" w:rsidRPr="002C41BF" w:rsidRDefault="009D5817" w:rsidP="009D5817">
            <w:pPr>
              <w:rPr>
                <w:rFonts w:ascii="Calibri" w:hAnsi="Calibri"/>
              </w:rPr>
            </w:pPr>
          </w:p>
        </w:tc>
        <w:tc>
          <w:tcPr>
            <w:tcW w:w="1620" w:type="dxa"/>
            <w:vMerge/>
            <w:vAlign w:val="center"/>
            <w:hideMark/>
          </w:tcPr>
          <w:p w14:paraId="44ED06F3" w14:textId="77777777" w:rsidR="009D5817" w:rsidRPr="002C41BF" w:rsidRDefault="009D5817" w:rsidP="009D5817">
            <w:pPr>
              <w:rPr>
                <w:rFonts w:ascii="Calibri" w:hAnsi="Calibri"/>
              </w:rPr>
            </w:pPr>
          </w:p>
        </w:tc>
      </w:tr>
      <w:tr w:rsidR="009D5817" w:rsidRPr="002C41BF" w14:paraId="47736EB1" w14:textId="77777777" w:rsidTr="00EA2D10">
        <w:trPr>
          <w:trHeight w:val="458"/>
        </w:trPr>
        <w:tc>
          <w:tcPr>
            <w:tcW w:w="2065" w:type="dxa"/>
            <w:vMerge w:val="restart"/>
            <w:shd w:val="clear" w:color="auto" w:fill="auto"/>
            <w:noWrap/>
            <w:vAlign w:val="center"/>
            <w:hideMark/>
          </w:tcPr>
          <w:p w14:paraId="64067E81" w14:textId="77777777" w:rsidR="009D5817" w:rsidRPr="002C41BF" w:rsidRDefault="009D5817" w:rsidP="009D5817">
            <w:pPr>
              <w:rPr>
                <w:rFonts w:ascii="Calibri" w:hAnsi="Calibri"/>
              </w:rPr>
            </w:pPr>
            <w:r w:rsidRPr="002C41BF">
              <w:rPr>
                <w:rFonts w:ascii="Calibri" w:hAnsi="Calibri"/>
              </w:rPr>
              <w:t>Hours^2</w:t>
            </w:r>
          </w:p>
        </w:tc>
        <w:tc>
          <w:tcPr>
            <w:tcW w:w="1440" w:type="dxa"/>
            <w:vMerge w:val="restart"/>
            <w:shd w:val="clear" w:color="auto" w:fill="auto"/>
            <w:vAlign w:val="center"/>
            <w:hideMark/>
          </w:tcPr>
          <w:p w14:paraId="68300EB3"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16B0E230" w14:textId="77777777" w:rsidR="009D5817" w:rsidRPr="002C41BF" w:rsidRDefault="009D5817" w:rsidP="009D5817">
            <w:pPr>
              <w:jc w:val="center"/>
              <w:rPr>
                <w:rFonts w:ascii="Calibri" w:hAnsi="Calibri"/>
              </w:rPr>
            </w:pPr>
            <w:r w:rsidRPr="002C41BF">
              <w:rPr>
                <w:rFonts w:ascii="Calibri" w:hAnsi="Calibri"/>
              </w:rPr>
              <w:t> </w:t>
            </w:r>
          </w:p>
        </w:tc>
        <w:tc>
          <w:tcPr>
            <w:tcW w:w="1530" w:type="dxa"/>
            <w:vMerge w:val="restart"/>
            <w:shd w:val="clear" w:color="auto" w:fill="auto"/>
            <w:vAlign w:val="center"/>
            <w:hideMark/>
          </w:tcPr>
          <w:p w14:paraId="1AE21A44"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208A24B7" w14:textId="77777777" w:rsidR="00EE7615" w:rsidRDefault="009D5817" w:rsidP="009D5817">
            <w:pPr>
              <w:jc w:val="center"/>
              <w:rPr>
                <w:rFonts w:ascii="Calibri" w:hAnsi="Calibri"/>
              </w:rPr>
            </w:pPr>
            <w:r w:rsidRPr="002C41BF">
              <w:rPr>
                <w:rFonts w:ascii="Calibri" w:hAnsi="Calibri"/>
              </w:rPr>
              <w:t xml:space="preserve">-3.30** </w:t>
            </w:r>
          </w:p>
          <w:p w14:paraId="6F165979" w14:textId="57F9ADB7" w:rsidR="009D5817" w:rsidRPr="002C41BF" w:rsidRDefault="009D5817" w:rsidP="009D5817">
            <w:pPr>
              <w:jc w:val="center"/>
              <w:rPr>
                <w:rFonts w:ascii="Calibri" w:hAnsi="Calibri"/>
              </w:rPr>
            </w:pPr>
            <w:r w:rsidRPr="002C41BF">
              <w:rPr>
                <w:rFonts w:ascii="Calibri" w:hAnsi="Calibri"/>
              </w:rPr>
              <w:t>(0.34)</w:t>
            </w:r>
          </w:p>
        </w:tc>
      </w:tr>
      <w:tr w:rsidR="009D5817" w:rsidRPr="002C41BF" w14:paraId="47DBAF9C" w14:textId="77777777" w:rsidTr="00EA2D10">
        <w:trPr>
          <w:trHeight w:val="458"/>
        </w:trPr>
        <w:tc>
          <w:tcPr>
            <w:tcW w:w="2065" w:type="dxa"/>
            <w:vMerge/>
            <w:vAlign w:val="center"/>
            <w:hideMark/>
          </w:tcPr>
          <w:p w14:paraId="326A6055" w14:textId="77777777" w:rsidR="009D5817" w:rsidRPr="002C41BF" w:rsidRDefault="009D5817" w:rsidP="009D5817">
            <w:pPr>
              <w:rPr>
                <w:rFonts w:ascii="Calibri" w:hAnsi="Calibri"/>
              </w:rPr>
            </w:pPr>
          </w:p>
        </w:tc>
        <w:tc>
          <w:tcPr>
            <w:tcW w:w="1440" w:type="dxa"/>
            <w:vMerge/>
            <w:vAlign w:val="center"/>
            <w:hideMark/>
          </w:tcPr>
          <w:p w14:paraId="35FE632A" w14:textId="77777777" w:rsidR="009D5817" w:rsidRPr="002C41BF" w:rsidRDefault="009D5817" w:rsidP="009D5817">
            <w:pPr>
              <w:rPr>
                <w:rFonts w:ascii="Calibri" w:hAnsi="Calibri"/>
              </w:rPr>
            </w:pPr>
          </w:p>
        </w:tc>
        <w:tc>
          <w:tcPr>
            <w:tcW w:w="1620" w:type="dxa"/>
            <w:vMerge/>
            <w:vAlign w:val="center"/>
            <w:hideMark/>
          </w:tcPr>
          <w:p w14:paraId="7B2F0444" w14:textId="77777777" w:rsidR="009D5817" w:rsidRPr="002C41BF" w:rsidRDefault="009D5817" w:rsidP="009D5817">
            <w:pPr>
              <w:rPr>
                <w:rFonts w:ascii="Calibri" w:hAnsi="Calibri"/>
              </w:rPr>
            </w:pPr>
          </w:p>
        </w:tc>
        <w:tc>
          <w:tcPr>
            <w:tcW w:w="1530" w:type="dxa"/>
            <w:vMerge/>
            <w:vAlign w:val="center"/>
            <w:hideMark/>
          </w:tcPr>
          <w:p w14:paraId="55C3A5E1" w14:textId="77777777" w:rsidR="009D5817" w:rsidRPr="002C41BF" w:rsidRDefault="009D5817" w:rsidP="009D5817">
            <w:pPr>
              <w:rPr>
                <w:rFonts w:ascii="Calibri" w:hAnsi="Calibri"/>
              </w:rPr>
            </w:pPr>
          </w:p>
        </w:tc>
        <w:tc>
          <w:tcPr>
            <w:tcW w:w="1620" w:type="dxa"/>
            <w:vMerge/>
            <w:vAlign w:val="center"/>
            <w:hideMark/>
          </w:tcPr>
          <w:p w14:paraId="4DBF8845" w14:textId="77777777" w:rsidR="009D5817" w:rsidRPr="002C41BF" w:rsidRDefault="009D5817" w:rsidP="009D5817">
            <w:pPr>
              <w:rPr>
                <w:rFonts w:ascii="Calibri" w:hAnsi="Calibri"/>
              </w:rPr>
            </w:pPr>
          </w:p>
        </w:tc>
      </w:tr>
      <w:tr w:rsidR="009D5817" w:rsidRPr="002C41BF" w14:paraId="1A98E5B4" w14:textId="77777777" w:rsidTr="00EA2D10">
        <w:trPr>
          <w:trHeight w:val="458"/>
        </w:trPr>
        <w:tc>
          <w:tcPr>
            <w:tcW w:w="2065" w:type="dxa"/>
            <w:vMerge w:val="restart"/>
            <w:shd w:val="clear" w:color="auto" w:fill="auto"/>
            <w:noWrap/>
            <w:vAlign w:val="center"/>
            <w:hideMark/>
          </w:tcPr>
          <w:p w14:paraId="51ECC6C4" w14:textId="77777777" w:rsidR="009D5817" w:rsidRPr="002C41BF" w:rsidRDefault="009D5817" w:rsidP="009D5817">
            <w:pPr>
              <w:rPr>
                <w:rFonts w:ascii="Calibri" w:hAnsi="Calibri"/>
              </w:rPr>
            </w:pPr>
            <w:r w:rsidRPr="002C41BF">
              <w:rPr>
                <w:rFonts w:ascii="Calibri" w:hAnsi="Calibri"/>
              </w:rPr>
              <w:t>North_Central</w:t>
            </w:r>
          </w:p>
        </w:tc>
        <w:tc>
          <w:tcPr>
            <w:tcW w:w="1440" w:type="dxa"/>
            <w:vMerge w:val="restart"/>
            <w:shd w:val="clear" w:color="auto" w:fill="auto"/>
            <w:vAlign w:val="center"/>
            <w:hideMark/>
          </w:tcPr>
          <w:p w14:paraId="039237E8"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1B776592" w14:textId="77777777" w:rsidR="009D5817" w:rsidRPr="002C41BF" w:rsidRDefault="009D5817" w:rsidP="009D5817">
            <w:pPr>
              <w:jc w:val="center"/>
              <w:rPr>
                <w:rFonts w:ascii="Calibri" w:hAnsi="Calibri"/>
              </w:rPr>
            </w:pPr>
            <w:r w:rsidRPr="002C41BF">
              <w:rPr>
                <w:rFonts w:ascii="Calibri" w:hAnsi="Calibri"/>
              </w:rPr>
              <w:t> </w:t>
            </w:r>
          </w:p>
        </w:tc>
        <w:tc>
          <w:tcPr>
            <w:tcW w:w="1530" w:type="dxa"/>
            <w:vMerge w:val="restart"/>
            <w:shd w:val="clear" w:color="auto" w:fill="auto"/>
            <w:vAlign w:val="center"/>
            <w:hideMark/>
          </w:tcPr>
          <w:p w14:paraId="4E8064E9"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2EAC1470" w14:textId="77777777" w:rsidR="009D5817" w:rsidRPr="002C41BF" w:rsidRDefault="009D5817" w:rsidP="009D5817">
            <w:pPr>
              <w:jc w:val="center"/>
              <w:rPr>
                <w:rFonts w:ascii="Calibri" w:hAnsi="Calibri"/>
              </w:rPr>
            </w:pPr>
            <w:r w:rsidRPr="002C41BF">
              <w:rPr>
                <w:rFonts w:ascii="Calibri" w:hAnsi="Calibri"/>
              </w:rPr>
              <w:t>-9723.96** (2409.88)</w:t>
            </w:r>
          </w:p>
        </w:tc>
      </w:tr>
      <w:tr w:rsidR="009D5817" w:rsidRPr="002C41BF" w14:paraId="032D126B" w14:textId="77777777" w:rsidTr="00EA2D10">
        <w:trPr>
          <w:trHeight w:val="458"/>
        </w:trPr>
        <w:tc>
          <w:tcPr>
            <w:tcW w:w="2065" w:type="dxa"/>
            <w:vMerge/>
            <w:vAlign w:val="center"/>
            <w:hideMark/>
          </w:tcPr>
          <w:p w14:paraId="76B0FC22" w14:textId="77777777" w:rsidR="009D5817" w:rsidRPr="002C41BF" w:rsidRDefault="009D5817" w:rsidP="009D5817">
            <w:pPr>
              <w:rPr>
                <w:rFonts w:ascii="Calibri" w:hAnsi="Calibri"/>
              </w:rPr>
            </w:pPr>
          </w:p>
        </w:tc>
        <w:tc>
          <w:tcPr>
            <w:tcW w:w="1440" w:type="dxa"/>
            <w:vMerge/>
            <w:vAlign w:val="center"/>
            <w:hideMark/>
          </w:tcPr>
          <w:p w14:paraId="7EC5AB12" w14:textId="77777777" w:rsidR="009D5817" w:rsidRPr="002C41BF" w:rsidRDefault="009D5817" w:rsidP="009D5817">
            <w:pPr>
              <w:rPr>
                <w:rFonts w:ascii="Calibri" w:hAnsi="Calibri"/>
              </w:rPr>
            </w:pPr>
          </w:p>
        </w:tc>
        <w:tc>
          <w:tcPr>
            <w:tcW w:w="1620" w:type="dxa"/>
            <w:vMerge/>
            <w:vAlign w:val="center"/>
            <w:hideMark/>
          </w:tcPr>
          <w:p w14:paraId="0040C229" w14:textId="77777777" w:rsidR="009D5817" w:rsidRPr="002C41BF" w:rsidRDefault="009D5817" w:rsidP="009D5817">
            <w:pPr>
              <w:rPr>
                <w:rFonts w:ascii="Calibri" w:hAnsi="Calibri"/>
              </w:rPr>
            </w:pPr>
          </w:p>
        </w:tc>
        <w:tc>
          <w:tcPr>
            <w:tcW w:w="1530" w:type="dxa"/>
            <w:vMerge/>
            <w:vAlign w:val="center"/>
            <w:hideMark/>
          </w:tcPr>
          <w:p w14:paraId="4F6552AB" w14:textId="77777777" w:rsidR="009D5817" w:rsidRPr="002C41BF" w:rsidRDefault="009D5817" w:rsidP="009D5817">
            <w:pPr>
              <w:rPr>
                <w:rFonts w:ascii="Calibri" w:hAnsi="Calibri"/>
              </w:rPr>
            </w:pPr>
          </w:p>
        </w:tc>
        <w:tc>
          <w:tcPr>
            <w:tcW w:w="1620" w:type="dxa"/>
            <w:vMerge/>
            <w:vAlign w:val="center"/>
            <w:hideMark/>
          </w:tcPr>
          <w:p w14:paraId="7D2157AA" w14:textId="77777777" w:rsidR="009D5817" w:rsidRPr="002C41BF" w:rsidRDefault="009D5817" w:rsidP="009D5817">
            <w:pPr>
              <w:rPr>
                <w:rFonts w:ascii="Calibri" w:hAnsi="Calibri"/>
              </w:rPr>
            </w:pPr>
          </w:p>
        </w:tc>
      </w:tr>
      <w:tr w:rsidR="009D5817" w:rsidRPr="002C41BF" w14:paraId="6F8AF01D" w14:textId="77777777" w:rsidTr="00EA2D10">
        <w:trPr>
          <w:trHeight w:val="458"/>
        </w:trPr>
        <w:tc>
          <w:tcPr>
            <w:tcW w:w="2065" w:type="dxa"/>
            <w:vMerge w:val="restart"/>
            <w:shd w:val="clear" w:color="auto" w:fill="auto"/>
            <w:noWrap/>
            <w:vAlign w:val="center"/>
            <w:hideMark/>
          </w:tcPr>
          <w:p w14:paraId="73283782" w14:textId="77777777" w:rsidR="009D5817" w:rsidRPr="002C41BF" w:rsidRDefault="009D5817" w:rsidP="009D5817">
            <w:pPr>
              <w:rPr>
                <w:rFonts w:ascii="Calibri" w:hAnsi="Calibri"/>
              </w:rPr>
            </w:pPr>
            <w:r w:rsidRPr="002C41BF">
              <w:rPr>
                <w:rFonts w:ascii="Calibri" w:hAnsi="Calibri"/>
              </w:rPr>
              <w:t>South</w:t>
            </w:r>
          </w:p>
        </w:tc>
        <w:tc>
          <w:tcPr>
            <w:tcW w:w="1440" w:type="dxa"/>
            <w:vMerge w:val="restart"/>
            <w:shd w:val="clear" w:color="auto" w:fill="auto"/>
            <w:vAlign w:val="center"/>
            <w:hideMark/>
          </w:tcPr>
          <w:p w14:paraId="68E66F9C"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6B54AE7A" w14:textId="77777777" w:rsidR="009D5817" w:rsidRPr="002C41BF" w:rsidRDefault="009D5817" w:rsidP="009D5817">
            <w:pPr>
              <w:jc w:val="center"/>
              <w:rPr>
                <w:rFonts w:ascii="Calibri" w:hAnsi="Calibri"/>
              </w:rPr>
            </w:pPr>
            <w:r w:rsidRPr="002C41BF">
              <w:rPr>
                <w:rFonts w:ascii="Calibri" w:hAnsi="Calibri"/>
              </w:rPr>
              <w:t> </w:t>
            </w:r>
          </w:p>
        </w:tc>
        <w:tc>
          <w:tcPr>
            <w:tcW w:w="1530" w:type="dxa"/>
            <w:vMerge w:val="restart"/>
            <w:shd w:val="clear" w:color="auto" w:fill="auto"/>
            <w:vAlign w:val="center"/>
            <w:hideMark/>
          </w:tcPr>
          <w:p w14:paraId="2AB6735C"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34745FC6" w14:textId="77777777" w:rsidR="009D5817" w:rsidRPr="002C41BF" w:rsidRDefault="009D5817" w:rsidP="009D5817">
            <w:pPr>
              <w:jc w:val="center"/>
              <w:rPr>
                <w:rFonts w:ascii="Calibri" w:hAnsi="Calibri"/>
              </w:rPr>
            </w:pPr>
            <w:r w:rsidRPr="002C41BF">
              <w:rPr>
                <w:rFonts w:ascii="Calibri" w:hAnsi="Calibri"/>
              </w:rPr>
              <w:t>-4633.31** (2311.75)</w:t>
            </w:r>
          </w:p>
        </w:tc>
      </w:tr>
      <w:tr w:rsidR="009D5817" w:rsidRPr="002C41BF" w14:paraId="6AD5D82F" w14:textId="77777777" w:rsidTr="00EA2D10">
        <w:trPr>
          <w:trHeight w:val="458"/>
        </w:trPr>
        <w:tc>
          <w:tcPr>
            <w:tcW w:w="2065" w:type="dxa"/>
            <w:vMerge/>
            <w:vAlign w:val="center"/>
            <w:hideMark/>
          </w:tcPr>
          <w:p w14:paraId="402A89C9" w14:textId="77777777" w:rsidR="009D5817" w:rsidRPr="002C41BF" w:rsidRDefault="009D5817" w:rsidP="009D5817">
            <w:pPr>
              <w:rPr>
                <w:rFonts w:ascii="Calibri" w:hAnsi="Calibri"/>
              </w:rPr>
            </w:pPr>
          </w:p>
        </w:tc>
        <w:tc>
          <w:tcPr>
            <w:tcW w:w="1440" w:type="dxa"/>
            <w:vMerge/>
            <w:vAlign w:val="center"/>
            <w:hideMark/>
          </w:tcPr>
          <w:p w14:paraId="3AF4CA99" w14:textId="77777777" w:rsidR="009D5817" w:rsidRPr="002C41BF" w:rsidRDefault="009D5817" w:rsidP="009D5817">
            <w:pPr>
              <w:rPr>
                <w:rFonts w:ascii="Calibri" w:hAnsi="Calibri"/>
              </w:rPr>
            </w:pPr>
          </w:p>
        </w:tc>
        <w:tc>
          <w:tcPr>
            <w:tcW w:w="1620" w:type="dxa"/>
            <w:vMerge/>
            <w:vAlign w:val="center"/>
            <w:hideMark/>
          </w:tcPr>
          <w:p w14:paraId="5C0D1C9B" w14:textId="77777777" w:rsidR="009D5817" w:rsidRPr="002C41BF" w:rsidRDefault="009D5817" w:rsidP="009D5817">
            <w:pPr>
              <w:rPr>
                <w:rFonts w:ascii="Calibri" w:hAnsi="Calibri"/>
              </w:rPr>
            </w:pPr>
          </w:p>
        </w:tc>
        <w:tc>
          <w:tcPr>
            <w:tcW w:w="1530" w:type="dxa"/>
            <w:vMerge/>
            <w:vAlign w:val="center"/>
            <w:hideMark/>
          </w:tcPr>
          <w:p w14:paraId="7E0F5C04" w14:textId="77777777" w:rsidR="009D5817" w:rsidRPr="002C41BF" w:rsidRDefault="009D5817" w:rsidP="009D5817">
            <w:pPr>
              <w:rPr>
                <w:rFonts w:ascii="Calibri" w:hAnsi="Calibri"/>
              </w:rPr>
            </w:pPr>
          </w:p>
        </w:tc>
        <w:tc>
          <w:tcPr>
            <w:tcW w:w="1620" w:type="dxa"/>
            <w:vMerge/>
            <w:vAlign w:val="center"/>
            <w:hideMark/>
          </w:tcPr>
          <w:p w14:paraId="2E4A135E" w14:textId="77777777" w:rsidR="009D5817" w:rsidRPr="002C41BF" w:rsidRDefault="009D5817" w:rsidP="009D5817">
            <w:pPr>
              <w:rPr>
                <w:rFonts w:ascii="Calibri" w:hAnsi="Calibri"/>
              </w:rPr>
            </w:pPr>
          </w:p>
        </w:tc>
      </w:tr>
      <w:tr w:rsidR="009D5817" w:rsidRPr="002C41BF" w14:paraId="65614829" w14:textId="77777777" w:rsidTr="00EA2D10">
        <w:trPr>
          <w:trHeight w:val="458"/>
        </w:trPr>
        <w:tc>
          <w:tcPr>
            <w:tcW w:w="2065" w:type="dxa"/>
            <w:vMerge w:val="restart"/>
            <w:shd w:val="clear" w:color="auto" w:fill="auto"/>
            <w:noWrap/>
            <w:vAlign w:val="center"/>
            <w:hideMark/>
          </w:tcPr>
          <w:p w14:paraId="28D37784" w14:textId="77777777" w:rsidR="009D5817" w:rsidRPr="002C41BF" w:rsidRDefault="009D5817" w:rsidP="009D5817">
            <w:pPr>
              <w:rPr>
                <w:rFonts w:ascii="Calibri" w:hAnsi="Calibri"/>
              </w:rPr>
            </w:pPr>
            <w:r w:rsidRPr="002C41BF">
              <w:rPr>
                <w:rFonts w:ascii="Calibri" w:hAnsi="Calibri"/>
              </w:rPr>
              <w:t>West</w:t>
            </w:r>
          </w:p>
        </w:tc>
        <w:tc>
          <w:tcPr>
            <w:tcW w:w="1440" w:type="dxa"/>
            <w:vMerge w:val="restart"/>
            <w:shd w:val="clear" w:color="auto" w:fill="auto"/>
            <w:vAlign w:val="center"/>
            <w:hideMark/>
          </w:tcPr>
          <w:p w14:paraId="539CC0EB"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3FA1D987" w14:textId="77777777" w:rsidR="009D5817" w:rsidRPr="002C41BF" w:rsidRDefault="009D5817" w:rsidP="009D5817">
            <w:pPr>
              <w:jc w:val="center"/>
              <w:rPr>
                <w:rFonts w:ascii="Calibri" w:hAnsi="Calibri"/>
              </w:rPr>
            </w:pPr>
            <w:r w:rsidRPr="002C41BF">
              <w:rPr>
                <w:rFonts w:ascii="Calibri" w:hAnsi="Calibri"/>
              </w:rPr>
              <w:t> </w:t>
            </w:r>
          </w:p>
        </w:tc>
        <w:tc>
          <w:tcPr>
            <w:tcW w:w="1530" w:type="dxa"/>
            <w:vMerge w:val="restart"/>
            <w:shd w:val="clear" w:color="auto" w:fill="auto"/>
            <w:vAlign w:val="center"/>
            <w:hideMark/>
          </w:tcPr>
          <w:p w14:paraId="3F22E7EF" w14:textId="77777777" w:rsidR="009D5817" w:rsidRPr="002C41BF" w:rsidRDefault="009D5817" w:rsidP="009D5817">
            <w:pPr>
              <w:jc w:val="center"/>
              <w:rPr>
                <w:rFonts w:ascii="Calibri" w:hAnsi="Calibri"/>
              </w:rPr>
            </w:pPr>
            <w:r w:rsidRPr="002C41BF">
              <w:rPr>
                <w:rFonts w:ascii="Calibri" w:hAnsi="Calibri"/>
              </w:rPr>
              <w:t> </w:t>
            </w:r>
          </w:p>
        </w:tc>
        <w:tc>
          <w:tcPr>
            <w:tcW w:w="1620" w:type="dxa"/>
            <w:vMerge w:val="restart"/>
            <w:shd w:val="clear" w:color="auto" w:fill="auto"/>
            <w:vAlign w:val="center"/>
            <w:hideMark/>
          </w:tcPr>
          <w:p w14:paraId="39289823" w14:textId="77777777" w:rsidR="009D5817" w:rsidRPr="002C41BF" w:rsidRDefault="009D5817" w:rsidP="009D5817">
            <w:pPr>
              <w:jc w:val="center"/>
              <w:rPr>
                <w:rFonts w:ascii="Calibri" w:hAnsi="Calibri"/>
              </w:rPr>
            </w:pPr>
            <w:r w:rsidRPr="002C41BF">
              <w:rPr>
                <w:rFonts w:ascii="Calibri" w:hAnsi="Calibri"/>
              </w:rPr>
              <w:t>-6036.93** (2643.75)</w:t>
            </w:r>
          </w:p>
        </w:tc>
      </w:tr>
      <w:tr w:rsidR="009D5817" w:rsidRPr="002C41BF" w14:paraId="4C7C14AF" w14:textId="77777777" w:rsidTr="00EA2D10">
        <w:trPr>
          <w:trHeight w:val="458"/>
        </w:trPr>
        <w:tc>
          <w:tcPr>
            <w:tcW w:w="2065" w:type="dxa"/>
            <w:vMerge/>
            <w:vAlign w:val="center"/>
            <w:hideMark/>
          </w:tcPr>
          <w:p w14:paraId="601A37BE" w14:textId="77777777" w:rsidR="009D5817" w:rsidRPr="002C41BF" w:rsidRDefault="009D5817" w:rsidP="009D5817">
            <w:pPr>
              <w:rPr>
                <w:rFonts w:ascii="Calibri" w:hAnsi="Calibri"/>
              </w:rPr>
            </w:pPr>
          </w:p>
        </w:tc>
        <w:tc>
          <w:tcPr>
            <w:tcW w:w="1440" w:type="dxa"/>
            <w:vMerge/>
            <w:vAlign w:val="center"/>
            <w:hideMark/>
          </w:tcPr>
          <w:p w14:paraId="68D94E9C" w14:textId="77777777" w:rsidR="009D5817" w:rsidRPr="002C41BF" w:rsidRDefault="009D5817" w:rsidP="009D5817">
            <w:pPr>
              <w:rPr>
                <w:rFonts w:ascii="Calibri" w:hAnsi="Calibri"/>
              </w:rPr>
            </w:pPr>
          </w:p>
        </w:tc>
        <w:tc>
          <w:tcPr>
            <w:tcW w:w="1620" w:type="dxa"/>
            <w:vMerge/>
            <w:vAlign w:val="center"/>
            <w:hideMark/>
          </w:tcPr>
          <w:p w14:paraId="73A9A7A9" w14:textId="77777777" w:rsidR="009D5817" w:rsidRPr="002C41BF" w:rsidRDefault="009D5817" w:rsidP="009D5817">
            <w:pPr>
              <w:rPr>
                <w:rFonts w:ascii="Calibri" w:hAnsi="Calibri"/>
              </w:rPr>
            </w:pPr>
          </w:p>
        </w:tc>
        <w:tc>
          <w:tcPr>
            <w:tcW w:w="1530" w:type="dxa"/>
            <w:vMerge/>
            <w:vAlign w:val="center"/>
            <w:hideMark/>
          </w:tcPr>
          <w:p w14:paraId="4E91FB4D" w14:textId="77777777" w:rsidR="009D5817" w:rsidRPr="002C41BF" w:rsidRDefault="009D5817" w:rsidP="009D5817">
            <w:pPr>
              <w:rPr>
                <w:rFonts w:ascii="Calibri" w:hAnsi="Calibri"/>
              </w:rPr>
            </w:pPr>
          </w:p>
        </w:tc>
        <w:tc>
          <w:tcPr>
            <w:tcW w:w="1620" w:type="dxa"/>
            <w:vMerge/>
            <w:vAlign w:val="center"/>
            <w:hideMark/>
          </w:tcPr>
          <w:p w14:paraId="51628B05" w14:textId="77777777" w:rsidR="009D5817" w:rsidRPr="002C41BF" w:rsidRDefault="009D5817" w:rsidP="009D5817">
            <w:pPr>
              <w:rPr>
                <w:rFonts w:ascii="Calibri" w:hAnsi="Calibri"/>
              </w:rPr>
            </w:pPr>
          </w:p>
        </w:tc>
      </w:tr>
      <w:tr w:rsidR="009D5817" w:rsidRPr="002C41BF" w14:paraId="2BF62878" w14:textId="77777777" w:rsidTr="00EA2D10">
        <w:trPr>
          <w:trHeight w:val="458"/>
        </w:trPr>
        <w:tc>
          <w:tcPr>
            <w:tcW w:w="2065" w:type="dxa"/>
            <w:vMerge w:val="restart"/>
            <w:shd w:val="clear" w:color="auto" w:fill="auto"/>
            <w:noWrap/>
            <w:vAlign w:val="center"/>
            <w:hideMark/>
          </w:tcPr>
          <w:p w14:paraId="4F325D8F" w14:textId="77777777" w:rsidR="009D5817" w:rsidRPr="002C41BF" w:rsidRDefault="009D5817" w:rsidP="009D5817">
            <w:pPr>
              <w:rPr>
                <w:rFonts w:ascii="Calibri" w:hAnsi="Calibri"/>
              </w:rPr>
            </w:pPr>
            <w:r w:rsidRPr="002C41BF">
              <w:rPr>
                <w:rFonts w:ascii="Calibri" w:hAnsi="Calibri"/>
              </w:rPr>
              <w:t>Constant (intercept)</w:t>
            </w:r>
          </w:p>
        </w:tc>
        <w:tc>
          <w:tcPr>
            <w:tcW w:w="1440" w:type="dxa"/>
            <w:vMerge w:val="restart"/>
            <w:shd w:val="clear" w:color="auto" w:fill="auto"/>
            <w:vAlign w:val="center"/>
            <w:hideMark/>
          </w:tcPr>
          <w:p w14:paraId="5A3C0493" w14:textId="77777777" w:rsidR="009D5817" w:rsidRPr="002C41BF" w:rsidRDefault="009D5817" w:rsidP="009D5817">
            <w:pPr>
              <w:jc w:val="center"/>
              <w:rPr>
                <w:rFonts w:ascii="Calibri" w:hAnsi="Calibri"/>
              </w:rPr>
            </w:pPr>
            <w:r w:rsidRPr="002C41BF">
              <w:rPr>
                <w:rFonts w:ascii="Calibri" w:hAnsi="Calibri"/>
              </w:rPr>
              <w:t>31880.90 (1000.05)</w:t>
            </w:r>
          </w:p>
        </w:tc>
        <w:tc>
          <w:tcPr>
            <w:tcW w:w="1620" w:type="dxa"/>
            <w:vMerge w:val="restart"/>
            <w:shd w:val="clear" w:color="auto" w:fill="auto"/>
            <w:vAlign w:val="center"/>
            <w:hideMark/>
          </w:tcPr>
          <w:p w14:paraId="4B885C22" w14:textId="77777777" w:rsidR="009D5817" w:rsidRPr="002C41BF" w:rsidRDefault="009D5817" w:rsidP="009D5817">
            <w:pPr>
              <w:jc w:val="center"/>
              <w:rPr>
                <w:rFonts w:ascii="Calibri" w:hAnsi="Calibri"/>
              </w:rPr>
            </w:pPr>
            <w:r w:rsidRPr="002C41BF">
              <w:rPr>
                <w:rFonts w:ascii="Calibri" w:hAnsi="Calibri"/>
              </w:rPr>
              <w:t>19093.89 (1395.14)</w:t>
            </w:r>
          </w:p>
        </w:tc>
        <w:tc>
          <w:tcPr>
            <w:tcW w:w="1530" w:type="dxa"/>
            <w:vMerge w:val="restart"/>
            <w:shd w:val="clear" w:color="auto" w:fill="auto"/>
            <w:vAlign w:val="center"/>
            <w:hideMark/>
          </w:tcPr>
          <w:p w14:paraId="4943714C" w14:textId="77777777" w:rsidR="009D5817" w:rsidRPr="002C41BF" w:rsidRDefault="009D5817" w:rsidP="009D5817">
            <w:pPr>
              <w:jc w:val="center"/>
              <w:rPr>
                <w:rFonts w:ascii="Calibri" w:hAnsi="Calibri"/>
              </w:rPr>
            </w:pPr>
            <w:r w:rsidRPr="002C41BF">
              <w:rPr>
                <w:rFonts w:ascii="Calibri" w:hAnsi="Calibri"/>
              </w:rPr>
              <w:t>24611.32 (2140.37)</w:t>
            </w:r>
          </w:p>
        </w:tc>
        <w:tc>
          <w:tcPr>
            <w:tcW w:w="1620" w:type="dxa"/>
            <w:vMerge w:val="restart"/>
            <w:shd w:val="clear" w:color="auto" w:fill="auto"/>
            <w:vAlign w:val="center"/>
            <w:hideMark/>
          </w:tcPr>
          <w:p w14:paraId="3B5E4E7F" w14:textId="77777777" w:rsidR="009D5817" w:rsidRPr="002C41BF" w:rsidRDefault="009D5817" w:rsidP="009D5817">
            <w:pPr>
              <w:jc w:val="center"/>
              <w:rPr>
                <w:rFonts w:ascii="Calibri" w:hAnsi="Calibri"/>
              </w:rPr>
            </w:pPr>
            <w:r w:rsidRPr="002C41BF">
              <w:rPr>
                <w:rFonts w:ascii="Calibri" w:hAnsi="Calibri"/>
              </w:rPr>
              <w:t>13954.82 (2960.31)</w:t>
            </w:r>
          </w:p>
        </w:tc>
      </w:tr>
      <w:tr w:rsidR="009D5817" w:rsidRPr="002C41BF" w14:paraId="4B743FB0" w14:textId="77777777" w:rsidTr="00EA2D10">
        <w:trPr>
          <w:trHeight w:val="458"/>
        </w:trPr>
        <w:tc>
          <w:tcPr>
            <w:tcW w:w="2065" w:type="dxa"/>
            <w:vMerge/>
            <w:vAlign w:val="center"/>
            <w:hideMark/>
          </w:tcPr>
          <w:p w14:paraId="1D7B3E44" w14:textId="77777777" w:rsidR="009D5817" w:rsidRPr="002C41BF" w:rsidRDefault="009D5817" w:rsidP="009D5817">
            <w:pPr>
              <w:rPr>
                <w:rFonts w:ascii="Calibri" w:hAnsi="Calibri"/>
              </w:rPr>
            </w:pPr>
          </w:p>
        </w:tc>
        <w:tc>
          <w:tcPr>
            <w:tcW w:w="1440" w:type="dxa"/>
            <w:vMerge/>
            <w:vAlign w:val="center"/>
            <w:hideMark/>
          </w:tcPr>
          <w:p w14:paraId="1C1072CC" w14:textId="77777777" w:rsidR="009D5817" w:rsidRPr="002C41BF" w:rsidRDefault="009D5817" w:rsidP="009D5817">
            <w:pPr>
              <w:rPr>
                <w:rFonts w:ascii="Calibri" w:hAnsi="Calibri"/>
              </w:rPr>
            </w:pPr>
          </w:p>
        </w:tc>
        <w:tc>
          <w:tcPr>
            <w:tcW w:w="1620" w:type="dxa"/>
            <w:vMerge/>
            <w:vAlign w:val="center"/>
            <w:hideMark/>
          </w:tcPr>
          <w:p w14:paraId="3E10C983" w14:textId="77777777" w:rsidR="009D5817" w:rsidRPr="002C41BF" w:rsidRDefault="009D5817" w:rsidP="009D5817">
            <w:pPr>
              <w:rPr>
                <w:rFonts w:ascii="Calibri" w:hAnsi="Calibri"/>
              </w:rPr>
            </w:pPr>
          </w:p>
        </w:tc>
        <w:tc>
          <w:tcPr>
            <w:tcW w:w="1530" w:type="dxa"/>
            <w:vMerge/>
            <w:vAlign w:val="center"/>
            <w:hideMark/>
          </w:tcPr>
          <w:p w14:paraId="250F726B" w14:textId="77777777" w:rsidR="009D5817" w:rsidRPr="002C41BF" w:rsidRDefault="009D5817" w:rsidP="009D5817">
            <w:pPr>
              <w:rPr>
                <w:rFonts w:ascii="Calibri" w:hAnsi="Calibri"/>
              </w:rPr>
            </w:pPr>
          </w:p>
        </w:tc>
        <w:tc>
          <w:tcPr>
            <w:tcW w:w="1620" w:type="dxa"/>
            <w:vMerge/>
            <w:vAlign w:val="center"/>
            <w:hideMark/>
          </w:tcPr>
          <w:p w14:paraId="5CA545D1" w14:textId="77777777" w:rsidR="009D5817" w:rsidRPr="002C41BF" w:rsidRDefault="009D5817" w:rsidP="009D5817">
            <w:pPr>
              <w:rPr>
                <w:rFonts w:ascii="Calibri" w:hAnsi="Calibri"/>
              </w:rPr>
            </w:pPr>
          </w:p>
        </w:tc>
      </w:tr>
      <w:tr w:rsidR="009D5817" w:rsidRPr="002C41BF" w14:paraId="7D897D68" w14:textId="77777777" w:rsidTr="00F00738">
        <w:trPr>
          <w:trHeight w:val="357"/>
        </w:trPr>
        <w:tc>
          <w:tcPr>
            <w:tcW w:w="2065" w:type="dxa"/>
            <w:shd w:val="clear" w:color="auto" w:fill="auto"/>
            <w:noWrap/>
            <w:vAlign w:val="bottom"/>
            <w:hideMark/>
          </w:tcPr>
          <w:p w14:paraId="45BC17D5" w14:textId="77777777" w:rsidR="009D5817" w:rsidRPr="002C41BF" w:rsidRDefault="009D5817" w:rsidP="009D5817">
            <w:pPr>
              <w:rPr>
                <w:rFonts w:ascii="Calibri" w:hAnsi="Calibri"/>
              </w:rPr>
            </w:pPr>
            <w:r w:rsidRPr="002C41BF">
              <w:rPr>
                <w:rFonts w:ascii="Calibri" w:hAnsi="Calibri"/>
              </w:rPr>
              <w:t>Observations</w:t>
            </w:r>
          </w:p>
        </w:tc>
        <w:tc>
          <w:tcPr>
            <w:tcW w:w="1440" w:type="dxa"/>
            <w:shd w:val="clear" w:color="auto" w:fill="auto"/>
            <w:vAlign w:val="center"/>
            <w:hideMark/>
          </w:tcPr>
          <w:p w14:paraId="5BEB1880" w14:textId="77777777" w:rsidR="009D5817" w:rsidRPr="002C41BF" w:rsidRDefault="009D5817" w:rsidP="009D5817">
            <w:pPr>
              <w:jc w:val="center"/>
              <w:rPr>
                <w:rFonts w:ascii="Calibri" w:hAnsi="Calibri"/>
              </w:rPr>
            </w:pPr>
            <w:r w:rsidRPr="002C41BF">
              <w:rPr>
                <w:rFonts w:ascii="Calibri" w:hAnsi="Calibri"/>
              </w:rPr>
              <w:t>3917</w:t>
            </w:r>
          </w:p>
        </w:tc>
        <w:tc>
          <w:tcPr>
            <w:tcW w:w="1620" w:type="dxa"/>
            <w:shd w:val="clear" w:color="auto" w:fill="auto"/>
            <w:vAlign w:val="center"/>
            <w:hideMark/>
          </w:tcPr>
          <w:p w14:paraId="6517C356" w14:textId="77777777" w:rsidR="009D5817" w:rsidRPr="002C41BF" w:rsidRDefault="009D5817" w:rsidP="009D5817">
            <w:pPr>
              <w:jc w:val="center"/>
              <w:rPr>
                <w:rFonts w:ascii="Calibri" w:hAnsi="Calibri"/>
              </w:rPr>
            </w:pPr>
            <w:r w:rsidRPr="002C41BF">
              <w:rPr>
                <w:rFonts w:ascii="Calibri" w:hAnsi="Calibri"/>
              </w:rPr>
              <w:t>3917</w:t>
            </w:r>
          </w:p>
        </w:tc>
        <w:tc>
          <w:tcPr>
            <w:tcW w:w="1530" w:type="dxa"/>
            <w:shd w:val="clear" w:color="auto" w:fill="auto"/>
            <w:vAlign w:val="center"/>
            <w:hideMark/>
          </w:tcPr>
          <w:p w14:paraId="5BAD961A" w14:textId="77777777" w:rsidR="009D5817" w:rsidRPr="002C41BF" w:rsidRDefault="009D5817" w:rsidP="009D5817">
            <w:pPr>
              <w:jc w:val="center"/>
              <w:rPr>
                <w:rFonts w:ascii="Calibri" w:hAnsi="Calibri"/>
              </w:rPr>
            </w:pPr>
            <w:r w:rsidRPr="002C41BF">
              <w:rPr>
                <w:rFonts w:ascii="Calibri" w:hAnsi="Calibri"/>
              </w:rPr>
              <w:t>3917</w:t>
            </w:r>
          </w:p>
        </w:tc>
        <w:tc>
          <w:tcPr>
            <w:tcW w:w="1620" w:type="dxa"/>
            <w:shd w:val="clear" w:color="auto" w:fill="auto"/>
            <w:vAlign w:val="center"/>
            <w:hideMark/>
          </w:tcPr>
          <w:p w14:paraId="2D6457CF" w14:textId="77777777" w:rsidR="009D5817" w:rsidRPr="002C41BF" w:rsidRDefault="009D5817" w:rsidP="009D5817">
            <w:pPr>
              <w:jc w:val="center"/>
              <w:rPr>
                <w:rFonts w:ascii="Calibri" w:hAnsi="Calibri"/>
              </w:rPr>
            </w:pPr>
            <w:r w:rsidRPr="002C41BF">
              <w:rPr>
                <w:rFonts w:ascii="Calibri" w:hAnsi="Calibri"/>
              </w:rPr>
              <w:t>3917</w:t>
            </w:r>
          </w:p>
        </w:tc>
      </w:tr>
      <w:tr w:rsidR="009D5817" w:rsidRPr="002C41BF" w14:paraId="29E0B18B" w14:textId="77777777" w:rsidTr="00F00738">
        <w:trPr>
          <w:trHeight w:val="357"/>
        </w:trPr>
        <w:tc>
          <w:tcPr>
            <w:tcW w:w="2065" w:type="dxa"/>
            <w:shd w:val="clear" w:color="auto" w:fill="auto"/>
            <w:noWrap/>
            <w:vAlign w:val="bottom"/>
            <w:hideMark/>
          </w:tcPr>
          <w:p w14:paraId="1E9CFD7D" w14:textId="77777777" w:rsidR="009D5817" w:rsidRPr="002C41BF" w:rsidRDefault="009D5817" w:rsidP="009D5817">
            <w:pPr>
              <w:rPr>
                <w:rFonts w:ascii="Calibri" w:hAnsi="Calibri"/>
              </w:rPr>
            </w:pPr>
            <w:r w:rsidRPr="002C41BF">
              <w:rPr>
                <w:rFonts w:ascii="Calibri" w:hAnsi="Calibri"/>
              </w:rPr>
              <w:t>SEE</w:t>
            </w:r>
          </w:p>
        </w:tc>
        <w:tc>
          <w:tcPr>
            <w:tcW w:w="1440" w:type="dxa"/>
            <w:shd w:val="clear" w:color="auto" w:fill="auto"/>
            <w:vAlign w:val="center"/>
            <w:hideMark/>
          </w:tcPr>
          <w:p w14:paraId="07B55DE2" w14:textId="77777777" w:rsidR="009D5817" w:rsidRPr="002C41BF" w:rsidRDefault="009D5817" w:rsidP="009D5817">
            <w:pPr>
              <w:jc w:val="center"/>
              <w:rPr>
                <w:rFonts w:ascii="Calibri" w:hAnsi="Calibri"/>
              </w:rPr>
            </w:pPr>
            <w:r w:rsidRPr="002C41BF">
              <w:rPr>
                <w:rFonts w:ascii="Calibri" w:hAnsi="Calibri"/>
              </w:rPr>
              <w:t>53285.15</w:t>
            </w:r>
          </w:p>
        </w:tc>
        <w:tc>
          <w:tcPr>
            <w:tcW w:w="1620" w:type="dxa"/>
            <w:shd w:val="clear" w:color="auto" w:fill="auto"/>
            <w:vAlign w:val="center"/>
            <w:hideMark/>
          </w:tcPr>
          <w:p w14:paraId="53DF66CA" w14:textId="77777777" w:rsidR="009D5817" w:rsidRPr="002C41BF" w:rsidRDefault="009D5817" w:rsidP="009D5817">
            <w:pPr>
              <w:jc w:val="center"/>
              <w:rPr>
                <w:rFonts w:ascii="Calibri" w:hAnsi="Calibri"/>
              </w:rPr>
            </w:pPr>
            <w:r w:rsidRPr="002C41BF">
              <w:rPr>
                <w:rFonts w:ascii="Calibri" w:hAnsi="Calibri"/>
              </w:rPr>
              <w:t>51318.62</w:t>
            </w:r>
          </w:p>
        </w:tc>
        <w:tc>
          <w:tcPr>
            <w:tcW w:w="1530" w:type="dxa"/>
            <w:shd w:val="clear" w:color="auto" w:fill="auto"/>
            <w:vAlign w:val="center"/>
            <w:hideMark/>
          </w:tcPr>
          <w:p w14:paraId="3C773C5C" w14:textId="77777777" w:rsidR="009D5817" w:rsidRPr="002C41BF" w:rsidRDefault="009D5817" w:rsidP="009D5817">
            <w:pPr>
              <w:jc w:val="center"/>
              <w:rPr>
                <w:rFonts w:ascii="Calibri" w:hAnsi="Calibri"/>
              </w:rPr>
            </w:pPr>
            <w:r w:rsidRPr="002C41BF">
              <w:rPr>
                <w:rFonts w:ascii="Calibri" w:hAnsi="Calibri"/>
              </w:rPr>
              <w:t>50249.89</w:t>
            </w:r>
          </w:p>
        </w:tc>
        <w:tc>
          <w:tcPr>
            <w:tcW w:w="1620" w:type="dxa"/>
            <w:shd w:val="clear" w:color="auto" w:fill="auto"/>
            <w:vAlign w:val="center"/>
            <w:hideMark/>
          </w:tcPr>
          <w:p w14:paraId="45535B41" w14:textId="77777777" w:rsidR="009D5817" w:rsidRPr="002C41BF" w:rsidRDefault="009D5817" w:rsidP="009D5817">
            <w:pPr>
              <w:jc w:val="center"/>
              <w:rPr>
                <w:rFonts w:ascii="Calibri" w:hAnsi="Calibri"/>
              </w:rPr>
            </w:pPr>
            <w:r w:rsidRPr="002C41BF">
              <w:rPr>
                <w:rFonts w:ascii="Calibri" w:hAnsi="Calibri"/>
              </w:rPr>
              <w:t>48728.16</w:t>
            </w:r>
          </w:p>
        </w:tc>
      </w:tr>
      <w:tr w:rsidR="009D5817" w:rsidRPr="002C41BF" w14:paraId="5C44A095" w14:textId="77777777" w:rsidTr="00EA2D10">
        <w:trPr>
          <w:trHeight w:val="300"/>
        </w:trPr>
        <w:tc>
          <w:tcPr>
            <w:tcW w:w="2065" w:type="dxa"/>
            <w:shd w:val="clear" w:color="auto" w:fill="auto"/>
            <w:noWrap/>
            <w:vAlign w:val="bottom"/>
            <w:hideMark/>
          </w:tcPr>
          <w:p w14:paraId="5A5A1518" w14:textId="77777777" w:rsidR="00EA2D10" w:rsidRDefault="009D5817" w:rsidP="009D5817">
            <w:pPr>
              <w:rPr>
                <w:rFonts w:ascii="Calibri" w:hAnsi="Calibri"/>
              </w:rPr>
            </w:pPr>
            <w:r w:rsidRPr="002C41BF">
              <w:rPr>
                <w:rFonts w:ascii="Calibri" w:hAnsi="Calibri"/>
              </w:rPr>
              <w:t xml:space="preserve">Adjusted </w:t>
            </w:r>
          </w:p>
          <w:p w14:paraId="2C07EEAC" w14:textId="33414FD0" w:rsidR="009D5817" w:rsidRPr="002C41BF" w:rsidRDefault="009D5817" w:rsidP="009D5817">
            <w:pPr>
              <w:rPr>
                <w:rFonts w:ascii="Calibri" w:hAnsi="Calibri"/>
              </w:rPr>
            </w:pPr>
            <w:r w:rsidRPr="002C41BF">
              <w:rPr>
                <w:rFonts w:ascii="Calibri" w:hAnsi="Calibri"/>
              </w:rPr>
              <w:t>R-Squared</w:t>
            </w:r>
          </w:p>
        </w:tc>
        <w:tc>
          <w:tcPr>
            <w:tcW w:w="1440" w:type="dxa"/>
            <w:shd w:val="clear" w:color="auto" w:fill="auto"/>
            <w:vAlign w:val="center"/>
            <w:hideMark/>
          </w:tcPr>
          <w:p w14:paraId="475C19C5" w14:textId="77777777" w:rsidR="009D5817" w:rsidRPr="002C41BF" w:rsidRDefault="009D5817" w:rsidP="009D5817">
            <w:pPr>
              <w:jc w:val="center"/>
              <w:rPr>
                <w:rFonts w:ascii="Calibri" w:hAnsi="Calibri"/>
              </w:rPr>
            </w:pPr>
            <w:r w:rsidRPr="002C41BF">
              <w:rPr>
                <w:rFonts w:ascii="Calibri" w:hAnsi="Calibri"/>
              </w:rPr>
              <w:t>0.1405</w:t>
            </w:r>
          </w:p>
        </w:tc>
        <w:tc>
          <w:tcPr>
            <w:tcW w:w="1620" w:type="dxa"/>
            <w:shd w:val="clear" w:color="auto" w:fill="auto"/>
            <w:vAlign w:val="center"/>
            <w:hideMark/>
          </w:tcPr>
          <w:p w14:paraId="335579E0" w14:textId="77777777" w:rsidR="009D5817" w:rsidRPr="002C41BF" w:rsidRDefault="009D5817" w:rsidP="009D5817">
            <w:pPr>
              <w:jc w:val="center"/>
              <w:rPr>
                <w:rFonts w:ascii="Calibri" w:hAnsi="Calibri"/>
              </w:rPr>
            </w:pPr>
            <w:r w:rsidRPr="002C41BF">
              <w:rPr>
                <w:rFonts w:ascii="Calibri" w:hAnsi="Calibri"/>
              </w:rPr>
              <w:t>0.2028</w:t>
            </w:r>
          </w:p>
        </w:tc>
        <w:tc>
          <w:tcPr>
            <w:tcW w:w="1530" w:type="dxa"/>
            <w:shd w:val="clear" w:color="auto" w:fill="auto"/>
            <w:vAlign w:val="center"/>
            <w:hideMark/>
          </w:tcPr>
          <w:p w14:paraId="71316202" w14:textId="77777777" w:rsidR="009D5817" w:rsidRPr="002C41BF" w:rsidRDefault="009D5817" w:rsidP="009D5817">
            <w:pPr>
              <w:jc w:val="center"/>
              <w:rPr>
                <w:rFonts w:ascii="Calibri" w:hAnsi="Calibri"/>
              </w:rPr>
            </w:pPr>
            <w:r w:rsidRPr="002C41BF">
              <w:rPr>
                <w:rFonts w:ascii="Calibri" w:hAnsi="Calibri"/>
              </w:rPr>
              <w:t>0.2356</w:t>
            </w:r>
          </w:p>
        </w:tc>
        <w:tc>
          <w:tcPr>
            <w:tcW w:w="1620" w:type="dxa"/>
            <w:shd w:val="clear" w:color="auto" w:fill="auto"/>
            <w:vAlign w:val="center"/>
            <w:hideMark/>
          </w:tcPr>
          <w:p w14:paraId="0E89EC8D" w14:textId="77777777" w:rsidR="009D5817" w:rsidRPr="002C41BF" w:rsidRDefault="009D5817" w:rsidP="009D5817">
            <w:pPr>
              <w:jc w:val="center"/>
              <w:rPr>
                <w:rFonts w:ascii="Calibri" w:hAnsi="Calibri"/>
              </w:rPr>
            </w:pPr>
            <w:r w:rsidRPr="002C41BF">
              <w:rPr>
                <w:rFonts w:ascii="Calibri" w:hAnsi="Calibri"/>
              </w:rPr>
              <w:t>0.2812</w:t>
            </w:r>
          </w:p>
        </w:tc>
      </w:tr>
    </w:tbl>
    <w:p w14:paraId="42E3912F" w14:textId="77777777" w:rsidR="00EA2D10" w:rsidRDefault="00EA2D10" w:rsidP="00870A96">
      <w:pPr>
        <w:spacing w:line="276" w:lineRule="auto"/>
        <w:rPr>
          <w:color w:val="000000"/>
        </w:rPr>
      </w:pPr>
    </w:p>
    <w:p w14:paraId="17EDB2DC" w14:textId="77777777" w:rsidR="00EA2D10" w:rsidRDefault="00EA2D10" w:rsidP="00870A96">
      <w:pPr>
        <w:spacing w:line="276" w:lineRule="auto"/>
        <w:rPr>
          <w:color w:val="000000"/>
        </w:rPr>
      </w:pPr>
    </w:p>
    <w:p w14:paraId="5750AE04" w14:textId="77777777" w:rsidR="00EA2D10" w:rsidRDefault="00EA2D10" w:rsidP="00870A96">
      <w:pPr>
        <w:spacing w:line="276" w:lineRule="auto"/>
        <w:rPr>
          <w:color w:val="000000"/>
        </w:rPr>
      </w:pPr>
    </w:p>
    <w:p w14:paraId="6250CC15" w14:textId="77777777" w:rsidR="00EA2D10" w:rsidRDefault="00EA2D10" w:rsidP="00870A96">
      <w:pPr>
        <w:spacing w:line="276" w:lineRule="auto"/>
        <w:rPr>
          <w:color w:val="000000"/>
        </w:rPr>
      </w:pPr>
    </w:p>
    <w:p w14:paraId="6104A084" w14:textId="77777777" w:rsidR="00EA2D10" w:rsidRDefault="00EA2D10" w:rsidP="00870A96">
      <w:pPr>
        <w:spacing w:line="276" w:lineRule="auto"/>
        <w:rPr>
          <w:color w:val="000000"/>
        </w:rPr>
      </w:pPr>
    </w:p>
    <w:p w14:paraId="46BE429F" w14:textId="77777777" w:rsidR="00EA2D10" w:rsidRDefault="00EA2D10" w:rsidP="00870A96">
      <w:pPr>
        <w:spacing w:line="276" w:lineRule="auto"/>
        <w:rPr>
          <w:color w:val="000000"/>
        </w:rPr>
      </w:pPr>
    </w:p>
    <w:p w14:paraId="2A8841E0" w14:textId="77777777" w:rsidR="00EA2D10" w:rsidRDefault="00EA2D10" w:rsidP="00870A96">
      <w:pPr>
        <w:spacing w:line="276" w:lineRule="auto"/>
        <w:rPr>
          <w:color w:val="000000"/>
        </w:rPr>
      </w:pPr>
    </w:p>
    <w:p w14:paraId="595088B9" w14:textId="77777777" w:rsidR="00EA2D10" w:rsidRDefault="00EA2D10" w:rsidP="00870A96">
      <w:pPr>
        <w:spacing w:line="276" w:lineRule="auto"/>
        <w:rPr>
          <w:color w:val="000000"/>
        </w:rPr>
      </w:pPr>
    </w:p>
    <w:p w14:paraId="0C3801EA" w14:textId="77777777" w:rsidR="00EA2D10" w:rsidRDefault="00EA2D10" w:rsidP="00870A96">
      <w:pPr>
        <w:spacing w:line="276" w:lineRule="auto"/>
        <w:rPr>
          <w:color w:val="000000"/>
        </w:rPr>
      </w:pPr>
    </w:p>
    <w:p w14:paraId="40D77FC6" w14:textId="77777777" w:rsidR="00EA2D10" w:rsidRDefault="00EA2D10" w:rsidP="00870A96">
      <w:pPr>
        <w:spacing w:line="276" w:lineRule="auto"/>
        <w:rPr>
          <w:color w:val="000000"/>
        </w:rPr>
      </w:pPr>
    </w:p>
    <w:p w14:paraId="0CFFB75A" w14:textId="77777777" w:rsidR="00EA2D10" w:rsidRDefault="00EA2D10" w:rsidP="00870A96">
      <w:pPr>
        <w:spacing w:line="276" w:lineRule="auto"/>
        <w:rPr>
          <w:color w:val="000000"/>
        </w:rPr>
      </w:pPr>
    </w:p>
    <w:p w14:paraId="61198BD1" w14:textId="77777777" w:rsidR="00EA2D10" w:rsidRDefault="00EA2D10" w:rsidP="00870A96">
      <w:pPr>
        <w:spacing w:line="276" w:lineRule="auto"/>
        <w:rPr>
          <w:color w:val="000000"/>
        </w:rPr>
      </w:pPr>
    </w:p>
    <w:p w14:paraId="5675D0AD" w14:textId="77777777" w:rsidR="00EA2D10" w:rsidRDefault="00EA2D10" w:rsidP="00870A96">
      <w:pPr>
        <w:spacing w:line="276" w:lineRule="auto"/>
        <w:rPr>
          <w:color w:val="000000"/>
        </w:rPr>
      </w:pPr>
    </w:p>
    <w:p w14:paraId="47A004E0" w14:textId="77777777" w:rsidR="00EA2D10" w:rsidRDefault="00EA2D10" w:rsidP="00870A96">
      <w:pPr>
        <w:spacing w:line="276" w:lineRule="auto"/>
        <w:rPr>
          <w:color w:val="000000"/>
        </w:rPr>
      </w:pPr>
    </w:p>
    <w:p w14:paraId="3AD57955" w14:textId="77777777" w:rsidR="00EA2D10" w:rsidRDefault="00EA2D10" w:rsidP="00870A96">
      <w:pPr>
        <w:spacing w:line="276" w:lineRule="auto"/>
        <w:rPr>
          <w:color w:val="000000"/>
        </w:rPr>
      </w:pPr>
    </w:p>
    <w:p w14:paraId="51897073" w14:textId="77777777" w:rsidR="00EA2D10" w:rsidRDefault="00EA2D10" w:rsidP="00870A96">
      <w:pPr>
        <w:spacing w:line="276" w:lineRule="auto"/>
        <w:rPr>
          <w:color w:val="000000"/>
        </w:rPr>
      </w:pPr>
    </w:p>
    <w:p w14:paraId="773C61EA" w14:textId="77777777" w:rsidR="00EA2D10" w:rsidRDefault="00EA2D10" w:rsidP="00870A96">
      <w:pPr>
        <w:spacing w:line="276" w:lineRule="auto"/>
        <w:rPr>
          <w:color w:val="000000"/>
        </w:rPr>
      </w:pPr>
    </w:p>
    <w:p w14:paraId="2E024BC8" w14:textId="77777777" w:rsidR="00EA2D10" w:rsidRDefault="00EA2D10" w:rsidP="00870A96">
      <w:pPr>
        <w:spacing w:line="276" w:lineRule="auto"/>
        <w:rPr>
          <w:color w:val="000000"/>
        </w:rPr>
      </w:pPr>
    </w:p>
    <w:p w14:paraId="180C4915" w14:textId="77777777" w:rsidR="00EA2D10" w:rsidRDefault="00EA2D10" w:rsidP="00870A96">
      <w:pPr>
        <w:spacing w:line="276" w:lineRule="auto"/>
        <w:rPr>
          <w:color w:val="000000"/>
        </w:rPr>
      </w:pPr>
    </w:p>
    <w:p w14:paraId="3730C559" w14:textId="77777777" w:rsidR="00EA2D10" w:rsidRDefault="00EA2D10" w:rsidP="00870A96">
      <w:pPr>
        <w:spacing w:line="276" w:lineRule="auto"/>
        <w:rPr>
          <w:color w:val="000000"/>
        </w:rPr>
      </w:pPr>
    </w:p>
    <w:p w14:paraId="28362960" w14:textId="77777777" w:rsidR="00EA2D10" w:rsidRDefault="00EA2D10" w:rsidP="00870A96">
      <w:pPr>
        <w:spacing w:line="276" w:lineRule="auto"/>
        <w:rPr>
          <w:color w:val="000000"/>
        </w:rPr>
      </w:pPr>
    </w:p>
    <w:p w14:paraId="2067CD34" w14:textId="77777777" w:rsidR="00EA2D10" w:rsidRDefault="00EA2D10" w:rsidP="00870A96">
      <w:pPr>
        <w:spacing w:line="276" w:lineRule="auto"/>
        <w:rPr>
          <w:color w:val="000000"/>
        </w:rPr>
      </w:pPr>
    </w:p>
    <w:p w14:paraId="06529DB5" w14:textId="77777777" w:rsidR="00EA2D10" w:rsidRDefault="00EA2D10" w:rsidP="00870A96">
      <w:pPr>
        <w:spacing w:line="276" w:lineRule="auto"/>
        <w:rPr>
          <w:color w:val="000000"/>
        </w:rPr>
      </w:pPr>
    </w:p>
    <w:p w14:paraId="7A8E6AA0" w14:textId="77777777" w:rsidR="00EA2D10" w:rsidRDefault="00EA2D10" w:rsidP="00870A96">
      <w:pPr>
        <w:spacing w:line="276" w:lineRule="auto"/>
        <w:rPr>
          <w:color w:val="000000"/>
        </w:rPr>
      </w:pPr>
    </w:p>
    <w:p w14:paraId="6A5E0153" w14:textId="77777777" w:rsidR="00EA2D10" w:rsidRDefault="00EA2D10" w:rsidP="00870A96">
      <w:pPr>
        <w:spacing w:line="276" w:lineRule="auto"/>
        <w:rPr>
          <w:color w:val="000000"/>
        </w:rPr>
      </w:pPr>
    </w:p>
    <w:p w14:paraId="60FD2AD4" w14:textId="77777777" w:rsidR="00EA2D10" w:rsidRDefault="00EA2D10" w:rsidP="00870A96">
      <w:pPr>
        <w:spacing w:line="276" w:lineRule="auto"/>
        <w:rPr>
          <w:color w:val="000000"/>
        </w:rPr>
      </w:pPr>
    </w:p>
    <w:p w14:paraId="7F87D8C0" w14:textId="77777777" w:rsidR="00EA2D10" w:rsidRDefault="00EA2D10" w:rsidP="00870A96">
      <w:pPr>
        <w:spacing w:line="276" w:lineRule="auto"/>
        <w:rPr>
          <w:color w:val="000000"/>
        </w:rPr>
      </w:pPr>
    </w:p>
    <w:p w14:paraId="4265F83F" w14:textId="77777777" w:rsidR="00EA2D10" w:rsidRDefault="00EA2D10" w:rsidP="00870A96">
      <w:pPr>
        <w:spacing w:line="276" w:lineRule="auto"/>
        <w:rPr>
          <w:color w:val="000000"/>
        </w:rPr>
      </w:pPr>
    </w:p>
    <w:p w14:paraId="34F4D944" w14:textId="77777777" w:rsidR="00EA2D10" w:rsidRDefault="00EA2D10" w:rsidP="00870A96">
      <w:pPr>
        <w:spacing w:line="276" w:lineRule="auto"/>
        <w:rPr>
          <w:color w:val="000000"/>
        </w:rPr>
      </w:pPr>
    </w:p>
    <w:p w14:paraId="5C78ED0F" w14:textId="5CF16D24" w:rsidR="00C56B97" w:rsidRDefault="00C56B97" w:rsidP="00870A96">
      <w:pPr>
        <w:spacing w:line="276" w:lineRule="auto"/>
        <w:rPr>
          <w:color w:val="000000"/>
        </w:rPr>
      </w:pPr>
      <w:r w:rsidRPr="00C56B97">
        <w:rPr>
          <w:color w:val="000000"/>
        </w:rPr>
        <w:t xml:space="preserve">Standard errors in parentheses; **|t-stat| &gt; 2; </w:t>
      </w:r>
    </w:p>
    <w:p w14:paraId="5F95892A" w14:textId="510DD0C1" w:rsidR="00C56B97" w:rsidRPr="00C56B97" w:rsidRDefault="00C56B97" w:rsidP="00870A96">
      <w:pPr>
        <w:spacing w:line="276" w:lineRule="auto"/>
        <w:rPr>
          <w:color w:val="000000"/>
        </w:rPr>
      </w:pPr>
      <w:r w:rsidRPr="00C56B97">
        <w:rPr>
          <w:color w:val="000000"/>
        </w:rPr>
        <w:t xml:space="preserve">Omitted IQ Range 100-109, Northeast </w:t>
      </w:r>
      <w:r>
        <w:rPr>
          <w:color w:val="000000"/>
        </w:rPr>
        <w:t>r</w:t>
      </w:r>
      <w:r w:rsidRPr="00C56B97">
        <w:rPr>
          <w:color w:val="000000"/>
        </w:rPr>
        <w:t xml:space="preserve">egion </w:t>
      </w:r>
      <w:r>
        <w:rPr>
          <w:color w:val="000000"/>
        </w:rPr>
        <w:t>of United States</w:t>
      </w:r>
    </w:p>
    <w:p w14:paraId="21E36A9A" w14:textId="76FB9A1B" w:rsidR="006B05FD" w:rsidRPr="002C41BF" w:rsidRDefault="006B05FD" w:rsidP="00870A96">
      <w:pPr>
        <w:spacing w:line="276" w:lineRule="auto"/>
        <w:rPr>
          <w:color w:val="000000"/>
        </w:rPr>
      </w:pPr>
      <w:r>
        <w:rPr>
          <w:b/>
          <w:bCs/>
          <w:color w:val="000000"/>
          <w:u w:val="single"/>
        </w:rPr>
        <w:br w:type="page"/>
      </w:r>
    </w:p>
    <w:p w14:paraId="07AC0CAE" w14:textId="21C1C65C" w:rsidR="005A2C9E" w:rsidRPr="005A2C9E" w:rsidRDefault="005A2C9E" w:rsidP="00870A96">
      <w:pPr>
        <w:spacing w:line="276" w:lineRule="auto"/>
        <w:rPr>
          <w:color w:val="000000"/>
        </w:rPr>
      </w:pPr>
      <w:r w:rsidRPr="005A2C9E">
        <w:rPr>
          <w:b/>
          <w:bCs/>
          <w:color w:val="000000"/>
          <w:u w:val="single"/>
        </w:rPr>
        <w:t>Final Multiple Regression Model</w:t>
      </w:r>
    </w:p>
    <w:p w14:paraId="6E6F29F4" w14:textId="77777777" w:rsidR="005A2C9E" w:rsidRPr="005A2C9E" w:rsidRDefault="005A2C9E" w:rsidP="00870A96">
      <w:pPr>
        <w:spacing w:line="276" w:lineRule="auto"/>
        <w:rPr>
          <w:color w:val="000000"/>
        </w:rPr>
      </w:pPr>
    </w:p>
    <w:p w14:paraId="39A95F11" w14:textId="77777777" w:rsidR="005A2C9E" w:rsidRPr="005A2C9E" w:rsidRDefault="005A2C9E" w:rsidP="00870A96">
      <w:pPr>
        <w:spacing w:line="276" w:lineRule="auto"/>
        <w:rPr>
          <w:color w:val="000000"/>
        </w:rPr>
      </w:pPr>
      <w:r w:rsidRPr="005A2C9E">
        <w:rPr>
          <w:color w:val="000000"/>
        </w:rPr>
        <w:t xml:space="preserve">After performing regression analysis on a person’s gender, college graduate status, rural residence, and cognitive ability (measured through IQ category), we believed there were more omitted variables which could help explain the college graduation earnings gap. To isolate the effect college graduation has on a person’s earnings, we first made a correlation matrix to visualize the individual associations found between variables in our survey data. As shown in </w:t>
      </w:r>
      <w:r w:rsidRPr="005A2C9E">
        <w:rPr>
          <w:b/>
          <w:bCs/>
          <w:color w:val="000000"/>
        </w:rPr>
        <w:t>Figure 9</w:t>
      </w:r>
      <w:r w:rsidRPr="005A2C9E">
        <w:rPr>
          <w:color w:val="000000"/>
        </w:rPr>
        <w:t xml:space="preserve">, the following variables had what we interpreted as relatively strong correlations with earnings: if a person’s mother went to college, if a person is a college graduate, if a person is married, how many weekly hours a person works, a person’s gender, and a person’s IQ. From there, we deduced which variables we best believed were relevant to explaining a person’s earnings and selected to run a series of regression tests on combinations of these variables, each time attempting to build a regression model which we hoped would explain the highest percentage of variations (the highest Adjusted R-Squared statistic) in annual earnings. The regression we determined that best isolates the effect of college graduation on a person’s annual average earnings is </w:t>
      </w:r>
      <w:r w:rsidRPr="005A2C9E">
        <w:rPr>
          <w:b/>
          <w:bCs/>
          <w:color w:val="000000"/>
        </w:rPr>
        <w:t>Regression D</w:t>
      </w:r>
      <w:r w:rsidRPr="005A2C9E">
        <w:rPr>
          <w:color w:val="000000"/>
        </w:rPr>
        <w:t xml:space="preserve"> in the above </w:t>
      </w:r>
      <w:r w:rsidRPr="005A2C9E">
        <w:rPr>
          <w:b/>
          <w:bCs/>
          <w:color w:val="000000"/>
        </w:rPr>
        <w:t>Figure 8</w:t>
      </w:r>
      <w:r w:rsidRPr="005A2C9E">
        <w:rPr>
          <w:color w:val="000000"/>
        </w:rPr>
        <w:t>. From our analysis of the correlation matrix, previous regressions, and our own intuition, we believe the following factors best estimate the effect of college graduation on a person’s earnings: college graduate status, gender, cognitive ability (measured through IQ categories), hours worked, and region of residence. </w:t>
      </w:r>
    </w:p>
    <w:p w14:paraId="31B0D888" w14:textId="77777777" w:rsidR="005A2C9E" w:rsidRPr="005A2C9E" w:rsidRDefault="005A2C9E" w:rsidP="00870A96">
      <w:pPr>
        <w:spacing w:line="276" w:lineRule="auto"/>
        <w:rPr>
          <w:color w:val="000000"/>
        </w:rPr>
      </w:pPr>
    </w:p>
    <w:p w14:paraId="686FAC93" w14:textId="075CAEA5" w:rsidR="005A2C9E" w:rsidRPr="005A2C9E" w:rsidRDefault="005A2C9E" w:rsidP="00870A96">
      <w:pPr>
        <w:spacing w:line="276" w:lineRule="auto"/>
        <w:rPr>
          <w:color w:val="000000"/>
        </w:rPr>
      </w:pPr>
      <w:r w:rsidRPr="005A2C9E">
        <w:rPr>
          <w:color w:val="000000"/>
        </w:rPr>
        <w:t xml:space="preserve">This regression model states with 95% confidence that if a person is a college graduate, they earn </w:t>
      </w:r>
      <w:r w:rsidR="006B11BB">
        <w:rPr>
          <w:color w:val="000000"/>
        </w:rPr>
        <w:t xml:space="preserve">at least </w:t>
      </w:r>
      <w:r w:rsidRPr="005A2C9E">
        <w:rPr>
          <w:color w:val="000000"/>
        </w:rPr>
        <w:t xml:space="preserve">$22,304.16 more on average than their non-college-graduate peers, holding all else constant. Furthermore, the regression suggests that even though people may have higher than average cognitive ability which may aid them in attaining higher earnings, those who also go to college tend to earn between $15,077.81 and $30,144.18 more on average than their </w:t>
      </w:r>
      <w:r w:rsidR="007845BB" w:rsidRPr="005A2C9E">
        <w:rPr>
          <w:color w:val="000000"/>
        </w:rPr>
        <w:t>cognitively equal</w:t>
      </w:r>
      <w:r w:rsidRPr="005A2C9E">
        <w:rPr>
          <w:color w:val="000000"/>
        </w:rPr>
        <w:t xml:space="preserve"> peers, holding all else constant. This is shown through the coefficients on the interaction variables ColGrad_IQ_110 and ColGrad_IQ_120, </w:t>
      </w:r>
      <w:r w:rsidR="00653E4A">
        <w:rPr>
          <w:color w:val="000000"/>
        </w:rPr>
        <w:t>confirming</w:t>
      </w:r>
      <w:r w:rsidRPr="005A2C9E">
        <w:rPr>
          <w:color w:val="000000"/>
        </w:rPr>
        <w:t xml:space="preserve"> what was observed </w:t>
      </w:r>
      <w:r w:rsidR="00653E4A">
        <w:rPr>
          <w:color w:val="000000"/>
        </w:rPr>
        <w:t xml:space="preserve">in </w:t>
      </w:r>
      <w:r w:rsidR="00653E4A" w:rsidRPr="00653E4A">
        <w:rPr>
          <w:b/>
          <w:bCs/>
          <w:color w:val="000000"/>
        </w:rPr>
        <w:t>Figure 5</w:t>
      </w:r>
      <w:r w:rsidR="00653E4A">
        <w:rPr>
          <w:color w:val="000000"/>
        </w:rPr>
        <w:t>.</w:t>
      </w:r>
      <w:r w:rsidRPr="005A2C9E">
        <w:rPr>
          <w:color w:val="000000"/>
        </w:rPr>
        <w:t> </w:t>
      </w:r>
    </w:p>
    <w:p w14:paraId="1F3C7512" w14:textId="77777777" w:rsidR="005A2C9E" w:rsidRPr="005A2C9E" w:rsidRDefault="005A2C9E" w:rsidP="00870A96">
      <w:pPr>
        <w:spacing w:line="276" w:lineRule="auto"/>
        <w:rPr>
          <w:color w:val="000000"/>
        </w:rPr>
      </w:pPr>
    </w:p>
    <w:p w14:paraId="6D63FC11" w14:textId="7D5610B7" w:rsidR="005A2C9E" w:rsidRPr="005A2C9E" w:rsidRDefault="005A2C9E" w:rsidP="00870A96">
      <w:pPr>
        <w:spacing w:line="276" w:lineRule="auto"/>
        <w:rPr>
          <w:color w:val="000000"/>
        </w:rPr>
      </w:pPr>
      <w:r w:rsidRPr="005A2C9E">
        <w:rPr>
          <w:color w:val="000000"/>
        </w:rPr>
        <w:t>We also suspected that the average number of weekly hours a person works and their annual earnings do not form a linear relationship. Therefore, we included an Hours-Squared variable into our regression, and our hypothesis was soon confirmed when the coefficient on the squared-variable term was significant. Because of this, we can be confident that the relationship between the hours worked and annual earnings is nonlinear</w:t>
      </w:r>
      <w:r w:rsidR="00451863">
        <w:rPr>
          <w:color w:val="000000"/>
        </w:rPr>
        <w:t xml:space="preserve"> and in an inverted U-shape. This indicates that there </w:t>
      </w:r>
      <w:r w:rsidR="00653E4A">
        <w:rPr>
          <w:color w:val="000000"/>
        </w:rPr>
        <w:t>are decreasing returns for hours worked – that after a certain number of hours, an additional hour worked may not increase earnings in the same way.</w:t>
      </w:r>
    </w:p>
    <w:p w14:paraId="2EE38039" w14:textId="68BAD7A8" w:rsidR="00451863" w:rsidRDefault="005A2C9E" w:rsidP="00451863">
      <w:pPr>
        <w:spacing w:line="276" w:lineRule="auto"/>
      </w:pPr>
      <w:r w:rsidRPr="005A2C9E">
        <w:rPr>
          <w:color w:val="000000"/>
        </w:rPr>
        <w:br/>
        <w:t xml:space="preserve">While our </w:t>
      </w:r>
      <w:r w:rsidRPr="005A2C9E">
        <w:rPr>
          <w:b/>
          <w:bCs/>
          <w:color w:val="000000"/>
        </w:rPr>
        <w:t>Regression D</w:t>
      </w:r>
      <w:r w:rsidRPr="005A2C9E">
        <w:rPr>
          <w:color w:val="000000"/>
        </w:rPr>
        <w:t xml:space="preserve"> attempts to include all variables from the survey which we believe affects a person’s annual earnings, we also recognize that other variables not included in the regression also play a role in determining earnings. For example, we presume that age and experience are both valued in the workplace, but the nature of our surveyed dataset provides a limited age range for us to run a regression on. Since all participants in the survey are known to be born between 1957 and 1964, variations in age may not seem to explain the earnings gap present in this dataset.</w:t>
      </w:r>
      <w:r w:rsidR="00451863">
        <w:br w:type="page"/>
      </w:r>
    </w:p>
    <w:p w14:paraId="572B7201" w14:textId="24DF8AFB" w:rsidR="005A2C9E" w:rsidRPr="00451863" w:rsidRDefault="005A2C9E" w:rsidP="00870A96">
      <w:pPr>
        <w:spacing w:line="276" w:lineRule="auto"/>
      </w:pPr>
      <w:r w:rsidRPr="005A2C9E">
        <w:rPr>
          <w:b/>
          <w:bCs/>
          <w:color w:val="000000"/>
          <w:u w:val="single"/>
        </w:rPr>
        <w:lastRenderedPageBreak/>
        <w:t>Sources of Bias in our Data</w:t>
      </w:r>
    </w:p>
    <w:p w14:paraId="38C18793" w14:textId="77777777" w:rsidR="005A2C9E" w:rsidRPr="005A2C9E" w:rsidRDefault="005A2C9E" w:rsidP="00870A96">
      <w:pPr>
        <w:spacing w:line="276" w:lineRule="auto"/>
        <w:rPr>
          <w:color w:val="000000"/>
        </w:rPr>
      </w:pPr>
    </w:p>
    <w:p w14:paraId="737AEBDD" w14:textId="77777777" w:rsidR="005A2C9E" w:rsidRPr="005A2C9E" w:rsidRDefault="005A2C9E" w:rsidP="00870A96">
      <w:pPr>
        <w:spacing w:line="276" w:lineRule="auto"/>
        <w:rPr>
          <w:color w:val="000000"/>
        </w:rPr>
      </w:pPr>
      <w:r w:rsidRPr="005A2C9E">
        <w:rPr>
          <w:color w:val="000000"/>
        </w:rPr>
        <w:t xml:space="preserve">Despite our best efforts to explain more of the variation in earnings through repeated regression modelling, none of our regression tests could explain more than 30% of the variation in a person’s average annual earnings. As seen through its Adjusted R-Squared value, </w:t>
      </w:r>
      <w:r w:rsidRPr="005A2C9E">
        <w:rPr>
          <w:b/>
          <w:bCs/>
          <w:color w:val="000000"/>
        </w:rPr>
        <w:t>Regression D</w:t>
      </w:r>
      <w:r w:rsidRPr="005A2C9E">
        <w:rPr>
          <w:color w:val="000000"/>
        </w:rPr>
        <w:t xml:space="preserve"> only explains approximately 28% of all variations in earnings. We believe this may not be a flaw with our logic or additional omitted variables, but perhaps an outcome influenced by the presence of outliers in the dataset. For example, the survey included data on individuals who worked zero hours a week but reported more than zero dollars in earnings. Similarly, there were individuals surveyed who reported working several hours a week with zero annual earnings or working an unusual number of hours beyond the number of hours available in a week. If we were to redo this analysis in the future, we would consider omitting these observations to boost the accuracy of our predictions. </w:t>
      </w:r>
    </w:p>
    <w:p w14:paraId="4DB778D7" w14:textId="77777777" w:rsidR="005A2C9E" w:rsidRPr="005A2C9E" w:rsidRDefault="005A2C9E" w:rsidP="00870A96">
      <w:pPr>
        <w:spacing w:line="276" w:lineRule="auto"/>
        <w:rPr>
          <w:color w:val="000000"/>
        </w:rPr>
      </w:pPr>
    </w:p>
    <w:p w14:paraId="12A3BE2E" w14:textId="77777777" w:rsidR="005A2C9E" w:rsidRPr="005A2C9E" w:rsidRDefault="005A2C9E" w:rsidP="00870A96">
      <w:pPr>
        <w:spacing w:line="276" w:lineRule="auto"/>
        <w:rPr>
          <w:color w:val="000000"/>
        </w:rPr>
      </w:pPr>
      <w:r w:rsidRPr="005A2C9E">
        <w:rPr>
          <w:color w:val="000000"/>
        </w:rPr>
        <w:t>This survey data also lends itself to the potential for self-selection bias, a phenomenon which results in a non-representative sample. Since the data in this survey is of individuals who were born in the late 1950s and went to college in the late 1970s to early 1980s, we cannot accurately predict present earnings of college graduates based on changes in preferences which have occurred since then. The racial, ethnic, and gender breakdown of students who went to school in the 1970s is not representative of the breakdowns found in prospective college applicants today. For example, the percentage of women who went to college back then is presumably much less than the percentage of women in the population who are thinking about going to college now. Moreover, with the price of college becoming increasingly more expensive, prospective students are more selective in their decisions to attend college than in the 1970s, when college was comparatively much cheaper and more people could afford to go without weighing the considerable monetary burden such a decision would take on their finances. As a result, individuals observed in this survey may not be representative of current trends involved in weighing the monetary benefits of going to college, as shown through analyzing the effect college graduation has on their earnings.</w:t>
      </w:r>
    </w:p>
    <w:p w14:paraId="2EC397AB" w14:textId="77777777" w:rsidR="005A2C9E" w:rsidRPr="005A2C9E" w:rsidRDefault="005A2C9E" w:rsidP="00870A96">
      <w:pPr>
        <w:spacing w:line="276" w:lineRule="auto"/>
        <w:rPr>
          <w:color w:val="000000"/>
        </w:rPr>
      </w:pPr>
    </w:p>
    <w:p w14:paraId="72487F91" w14:textId="65BE8A9B" w:rsidR="005A2C9E" w:rsidRDefault="005A2C9E" w:rsidP="00870A96">
      <w:pPr>
        <w:spacing w:line="276" w:lineRule="auto"/>
        <w:rPr>
          <w:color w:val="000000"/>
        </w:rPr>
      </w:pPr>
      <w:r w:rsidRPr="005A2C9E">
        <w:rPr>
          <w:color w:val="000000"/>
        </w:rPr>
        <w:t>Furthermore, the individuals surveyed for this data may tend to be mid-career, established professionals who might have acquired additional skills through their workplace experiences, thus boosting their earnings through knowledge not acquired from college. To get a better understanding of the true effect college graduation has on a person’s earnings, for future analysis, we suggest considering data from recent entrants into the workforce to better represent the effect a college degree has on earnings.</w:t>
      </w:r>
      <w:r>
        <w:rPr>
          <w:color w:val="000000"/>
        </w:rPr>
        <w:t xml:space="preserve"> </w:t>
      </w:r>
    </w:p>
    <w:p w14:paraId="59D8582A" w14:textId="5BBB26C3" w:rsidR="005A2C9E" w:rsidRDefault="005A2C9E" w:rsidP="00870A96">
      <w:pPr>
        <w:spacing w:line="276" w:lineRule="auto"/>
        <w:rPr>
          <w:color w:val="000000"/>
        </w:rPr>
      </w:pPr>
    </w:p>
    <w:p w14:paraId="41CEAD86" w14:textId="77777777" w:rsidR="00C978CF" w:rsidRDefault="00C978CF" w:rsidP="00870A96">
      <w:pPr>
        <w:spacing w:line="276" w:lineRule="auto"/>
        <w:rPr>
          <w:b/>
          <w:bCs/>
          <w:color w:val="000000"/>
        </w:rPr>
      </w:pPr>
      <w:r>
        <w:rPr>
          <w:b/>
          <w:bCs/>
          <w:color w:val="000000"/>
        </w:rPr>
        <w:br w:type="page"/>
      </w:r>
    </w:p>
    <w:p w14:paraId="32C868A7" w14:textId="57E8AA86" w:rsidR="00BA3359" w:rsidRPr="00870A96" w:rsidRDefault="005A2C9E" w:rsidP="00870A96">
      <w:pPr>
        <w:spacing w:line="276" w:lineRule="auto"/>
        <w:rPr>
          <w:b/>
          <w:bCs/>
          <w:color w:val="000000"/>
        </w:rPr>
      </w:pPr>
      <w:r>
        <w:rPr>
          <w:b/>
          <w:bCs/>
          <w:color w:val="000000"/>
        </w:rPr>
        <w:lastRenderedPageBreak/>
        <w:t>Figure 9</w:t>
      </w:r>
    </w:p>
    <w:tbl>
      <w:tblPr>
        <w:tblW w:w="9570" w:type="dxa"/>
        <w:tblLook w:val="04A0" w:firstRow="1" w:lastRow="0" w:firstColumn="1" w:lastColumn="0" w:noHBand="0" w:noVBand="1"/>
      </w:tblPr>
      <w:tblGrid>
        <w:gridCol w:w="2720"/>
        <w:gridCol w:w="1055"/>
        <w:gridCol w:w="1805"/>
        <w:gridCol w:w="1980"/>
        <w:gridCol w:w="853"/>
        <w:gridCol w:w="1157"/>
      </w:tblGrid>
      <w:tr w:rsidR="00BA3359" w:rsidRPr="00D551B4" w14:paraId="132E7BD7" w14:textId="77777777" w:rsidTr="00062693">
        <w:trPr>
          <w:trHeight w:val="300"/>
        </w:trPr>
        <w:tc>
          <w:tcPr>
            <w:tcW w:w="9570" w:type="dxa"/>
            <w:gridSpan w:val="6"/>
            <w:tcBorders>
              <w:bottom w:val="single" w:sz="4" w:space="0" w:color="auto"/>
            </w:tcBorders>
            <w:shd w:val="clear" w:color="auto" w:fill="auto"/>
            <w:noWrap/>
            <w:vAlign w:val="bottom"/>
          </w:tcPr>
          <w:p w14:paraId="29D2B31F" w14:textId="6DE7D598" w:rsidR="00BA3359" w:rsidRPr="00BA3359" w:rsidRDefault="00BA3359" w:rsidP="00D551B4">
            <w:pPr>
              <w:jc w:val="center"/>
              <w:rPr>
                <w:rFonts w:ascii="Calibri" w:hAnsi="Calibri"/>
                <w:b/>
                <w:bCs/>
              </w:rPr>
            </w:pPr>
            <w:r>
              <w:rPr>
                <w:rFonts w:ascii="Calibri" w:hAnsi="Calibri"/>
                <w:b/>
                <w:bCs/>
              </w:rPr>
              <w:t>Correlation Matrix</w:t>
            </w:r>
            <w:r w:rsidRPr="00BA3359">
              <w:rPr>
                <w:rFonts w:ascii="Calibri" w:hAnsi="Calibri"/>
                <w:sz w:val="16"/>
                <w:szCs w:val="16"/>
              </w:rPr>
              <w:t>*</w:t>
            </w:r>
          </w:p>
        </w:tc>
      </w:tr>
      <w:tr w:rsidR="00BA3359" w:rsidRPr="00D551B4" w14:paraId="6ED76516" w14:textId="77777777" w:rsidTr="00062693">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EA4A6" w14:textId="77777777" w:rsidR="00D551B4" w:rsidRPr="00D551B4" w:rsidRDefault="00D551B4" w:rsidP="00D551B4">
            <w:pPr>
              <w:jc w:val="center"/>
              <w:rPr>
                <w:rFonts w:ascii="Calibri" w:hAnsi="Calibri"/>
                <w:i/>
                <w:iCs/>
              </w:rPr>
            </w:pPr>
            <w:r w:rsidRPr="00D551B4">
              <w:rPr>
                <w:rFonts w:ascii="Calibri" w:hAnsi="Calibri"/>
                <w:i/>
                <w:iCs/>
              </w:rPr>
              <w:t> </w:t>
            </w:r>
          </w:p>
        </w:tc>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F48AC" w14:textId="77777777" w:rsidR="00D551B4" w:rsidRPr="00D551B4" w:rsidRDefault="00D551B4" w:rsidP="00D551B4">
            <w:pPr>
              <w:jc w:val="center"/>
              <w:rPr>
                <w:rFonts w:ascii="Calibri" w:hAnsi="Calibri"/>
                <w:i/>
                <w:iCs/>
              </w:rPr>
            </w:pPr>
            <w:r w:rsidRPr="00D551B4">
              <w:rPr>
                <w:rFonts w:ascii="Calibri" w:hAnsi="Calibri"/>
                <w:i/>
                <w:iCs/>
              </w:rPr>
              <w:t>earnings</w:t>
            </w:r>
          </w:p>
        </w:tc>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3DC8D" w14:textId="77777777" w:rsidR="00D551B4" w:rsidRPr="00D551B4" w:rsidRDefault="00D551B4" w:rsidP="00D551B4">
            <w:pPr>
              <w:jc w:val="center"/>
              <w:rPr>
                <w:rFonts w:ascii="Calibri" w:hAnsi="Calibri"/>
                <w:i/>
                <w:iCs/>
              </w:rPr>
            </w:pPr>
            <w:r w:rsidRPr="00D551B4">
              <w:rPr>
                <w:rFonts w:ascii="Calibri" w:hAnsi="Calibri"/>
                <w:i/>
                <w:iCs/>
              </w:rPr>
              <w:t>mother_college</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106E9" w14:textId="77777777" w:rsidR="00D551B4" w:rsidRPr="00D551B4" w:rsidRDefault="00D551B4" w:rsidP="00D551B4">
            <w:pPr>
              <w:jc w:val="center"/>
              <w:rPr>
                <w:rFonts w:ascii="Calibri" w:hAnsi="Calibri"/>
                <w:i/>
                <w:iCs/>
              </w:rPr>
            </w:pPr>
            <w:r w:rsidRPr="00D551B4">
              <w:rPr>
                <w:rFonts w:ascii="Calibri" w:hAnsi="Calibri"/>
                <w:i/>
                <w:iCs/>
              </w:rPr>
              <w:t>college_graduate</w:t>
            </w:r>
          </w:p>
        </w:tc>
        <w:tc>
          <w:tcPr>
            <w:tcW w:w="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2CB85" w14:textId="77777777" w:rsidR="00D551B4" w:rsidRPr="00D551B4" w:rsidRDefault="00D551B4" w:rsidP="00D551B4">
            <w:pPr>
              <w:jc w:val="center"/>
              <w:rPr>
                <w:rFonts w:ascii="Calibri" w:hAnsi="Calibri"/>
                <w:i/>
                <w:iCs/>
              </w:rPr>
            </w:pPr>
            <w:r w:rsidRPr="00D551B4">
              <w:rPr>
                <w:rFonts w:ascii="Calibri" w:hAnsi="Calibri"/>
                <w:i/>
                <w:iCs/>
              </w:rPr>
              <w:t>age</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693F7" w14:textId="77777777" w:rsidR="00D551B4" w:rsidRPr="00D551B4" w:rsidRDefault="00D551B4" w:rsidP="00D551B4">
            <w:pPr>
              <w:jc w:val="center"/>
              <w:rPr>
                <w:rFonts w:ascii="Calibri" w:hAnsi="Calibri"/>
                <w:i/>
                <w:iCs/>
              </w:rPr>
            </w:pPr>
            <w:r w:rsidRPr="00D551B4">
              <w:rPr>
                <w:rFonts w:ascii="Calibri" w:hAnsi="Calibri"/>
                <w:i/>
                <w:iCs/>
              </w:rPr>
              <w:t>married</w:t>
            </w:r>
          </w:p>
        </w:tc>
      </w:tr>
      <w:tr w:rsidR="00BA3359" w:rsidRPr="00D551B4" w14:paraId="4B551B03"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584DEE95" w14:textId="77777777" w:rsidR="00D551B4" w:rsidRPr="00D551B4" w:rsidRDefault="00D551B4" w:rsidP="00D551B4">
            <w:pPr>
              <w:rPr>
                <w:rFonts w:ascii="Calibri" w:hAnsi="Calibri"/>
              </w:rPr>
            </w:pPr>
            <w:r w:rsidRPr="00D551B4">
              <w:rPr>
                <w:rFonts w:ascii="Calibri" w:hAnsi="Calibri"/>
              </w:rPr>
              <w:t>earnings</w:t>
            </w:r>
          </w:p>
        </w:tc>
        <w:tc>
          <w:tcPr>
            <w:tcW w:w="1055" w:type="dxa"/>
            <w:tcBorders>
              <w:top w:val="nil"/>
              <w:left w:val="single" w:sz="4" w:space="0" w:color="auto"/>
              <w:bottom w:val="nil"/>
              <w:right w:val="single" w:sz="4" w:space="0" w:color="auto"/>
            </w:tcBorders>
            <w:shd w:val="clear" w:color="auto" w:fill="auto"/>
            <w:noWrap/>
            <w:vAlign w:val="bottom"/>
            <w:hideMark/>
          </w:tcPr>
          <w:p w14:paraId="40C6B20E" w14:textId="77777777" w:rsidR="00D551B4" w:rsidRPr="00D551B4" w:rsidRDefault="00D551B4" w:rsidP="00BA3359">
            <w:pPr>
              <w:jc w:val="center"/>
              <w:rPr>
                <w:rFonts w:ascii="Calibri" w:hAnsi="Calibri"/>
              </w:rPr>
            </w:pPr>
            <w:r w:rsidRPr="00D551B4">
              <w:rPr>
                <w:rFonts w:ascii="Calibri" w:hAnsi="Calibri"/>
              </w:rPr>
              <w:t>1</w:t>
            </w:r>
          </w:p>
        </w:tc>
        <w:tc>
          <w:tcPr>
            <w:tcW w:w="1805" w:type="dxa"/>
            <w:tcBorders>
              <w:top w:val="nil"/>
              <w:left w:val="single" w:sz="4" w:space="0" w:color="auto"/>
              <w:bottom w:val="nil"/>
              <w:right w:val="single" w:sz="4" w:space="0" w:color="auto"/>
            </w:tcBorders>
            <w:shd w:val="clear" w:color="auto" w:fill="auto"/>
            <w:noWrap/>
            <w:vAlign w:val="bottom"/>
            <w:hideMark/>
          </w:tcPr>
          <w:p w14:paraId="21A99A74" w14:textId="03547060" w:rsidR="00D551B4" w:rsidRPr="00D551B4" w:rsidRDefault="00D551B4" w:rsidP="00BA3359">
            <w:pPr>
              <w:jc w:val="center"/>
              <w:rPr>
                <w:rFonts w:ascii="Calibri" w:hAnsi="Calibri"/>
              </w:rPr>
            </w:pPr>
          </w:p>
        </w:tc>
        <w:tc>
          <w:tcPr>
            <w:tcW w:w="1980" w:type="dxa"/>
            <w:tcBorders>
              <w:top w:val="nil"/>
              <w:left w:val="single" w:sz="4" w:space="0" w:color="auto"/>
              <w:bottom w:val="nil"/>
              <w:right w:val="single" w:sz="4" w:space="0" w:color="auto"/>
            </w:tcBorders>
            <w:shd w:val="clear" w:color="auto" w:fill="auto"/>
            <w:noWrap/>
            <w:vAlign w:val="bottom"/>
            <w:hideMark/>
          </w:tcPr>
          <w:p w14:paraId="0297260B" w14:textId="5967B9D6" w:rsidR="00D551B4" w:rsidRPr="00D551B4" w:rsidRDefault="00D551B4" w:rsidP="00BA3359">
            <w:pPr>
              <w:jc w:val="center"/>
              <w:rPr>
                <w:rFonts w:ascii="Calibri" w:hAnsi="Calibri"/>
              </w:rPr>
            </w:pPr>
          </w:p>
        </w:tc>
        <w:tc>
          <w:tcPr>
            <w:tcW w:w="853" w:type="dxa"/>
            <w:tcBorders>
              <w:top w:val="nil"/>
              <w:left w:val="single" w:sz="4" w:space="0" w:color="auto"/>
              <w:bottom w:val="nil"/>
              <w:right w:val="single" w:sz="4" w:space="0" w:color="auto"/>
            </w:tcBorders>
            <w:shd w:val="clear" w:color="auto" w:fill="auto"/>
            <w:noWrap/>
            <w:vAlign w:val="bottom"/>
            <w:hideMark/>
          </w:tcPr>
          <w:p w14:paraId="7B9B1590" w14:textId="7B5131F7" w:rsidR="00D551B4" w:rsidRPr="00D551B4" w:rsidRDefault="00D551B4" w:rsidP="00BA3359">
            <w:pPr>
              <w:jc w:val="center"/>
              <w:rPr>
                <w:rFonts w:ascii="Calibri" w:hAnsi="Calibri"/>
              </w:rPr>
            </w:pPr>
          </w:p>
        </w:tc>
        <w:tc>
          <w:tcPr>
            <w:tcW w:w="1157" w:type="dxa"/>
            <w:tcBorders>
              <w:top w:val="nil"/>
              <w:left w:val="single" w:sz="4" w:space="0" w:color="auto"/>
              <w:bottom w:val="nil"/>
              <w:right w:val="single" w:sz="4" w:space="0" w:color="auto"/>
            </w:tcBorders>
            <w:shd w:val="clear" w:color="auto" w:fill="auto"/>
            <w:noWrap/>
            <w:vAlign w:val="bottom"/>
            <w:hideMark/>
          </w:tcPr>
          <w:p w14:paraId="07971D8B" w14:textId="74F6BECC" w:rsidR="00D551B4" w:rsidRPr="00D551B4" w:rsidRDefault="00D551B4" w:rsidP="00BA3359">
            <w:pPr>
              <w:jc w:val="center"/>
              <w:rPr>
                <w:rFonts w:ascii="Calibri" w:hAnsi="Calibri"/>
              </w:rPr>
            </w:pPr>
          </w:p>
        </w:tc>
      </w:tr>
      <w:tr w:rsidR="00BA3359" w:rsidRPr="00D551B4" w14:paraId="6FDBEC86"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1AFA20CD" w14:textId="77777777" w:rsidR="00D551B4" w:rsidRPr="00D551B4" w:rsidRDefault="00D551B4" w:rsidP="00D551B4">
            <w:pPr>
              <w:rPr>
                <w:rFonts w:ascii="Calibri" w:hAnsi="Calibri"/>
              </w:rPr>
            </w:pPr>
            <w:r w:rsidRPr="00D551B4">
              <w:rPr>
                <w:rFonts w:ascii="Calibri" w:hAnsi="Calibri"/>
              </w:rPr>
              <w:t>mother_went_to_college</w:t>
            </w:r>
          </w:p>
        </w:tc>
        <w:tc>
          <w:tcPr>
            <w:tcW w:w="1055" w:type="dxa"/>
            <w:tcBorders>
              <w:top w:val="nil"/>
              <w:left w:val="single" w:sz="4" w:space="0" w:color="auto"/>
              <w:bottom w:val="nil"/>
              <w:right w:val="single" w:sz="4" w:space="0" w:color="auto"/>
            </w:tcBorders>
            <w:shd w:val="clear" w:color="auto" w:fill="auto"/>
            <w:noWrap/>
            <w:vAlign w:val="bottom"/>
            <w:hideMark/>
          </w:tcPr>
          <w:p w14:paraId="08C922BB" w14:textId="77777777" w:rsidR="00D551B4" w:rsidRPr="00D551B4" w:rsidRDefault="00D551B4" w:rsidP="00BA3359">
            <w:pPr>
              <w:jc w:val="center"/>
              <w:rPr>
                <w:rFonts w:ascii="Calibri" w:hAnsi="Calibri"/>
              </w:rPr>
            </w:pPr>
            <w:r w:rsidRPr="00D551B4">
              <w:rPr>
                <w:rFonts w:ascii="Calibri" w:hAnsi="Calibri"/>
              </w:rPr>
              <w:t>0.18</w:t>
            </w:r>
          </w:p>
        </w:tc>
        <w:tc>
          <w:tcPr>
            <w:tcW w:w="1805" w:type="dxa"/>
            <w:tcBorders>
              <w:top w:val="nil"/>
              <w:left w:val="single" w:sz="4" w:space="0" w:color="auto"/>
              <w:bottom w:val="nil"/>
              <w:right w:val="single" w:sz="4" w:space="0" w:color="auto"/>
            </w:tcBorders>
            <w:shd w:val="clear" w:color="auto" w:fill="auto"/>
            <w:noWrap/>
            <w:vAlign w:val="bottom"/>
            <w:hideMark/>
          </w:tcPr>
          <w:p w14:paraId="274613A3" w14:textId="77777777" w:rsidR="00D551B4" w:rsidRPr="00D551B4" w:rsidRDefault="00D551B4" w:rsidP="00BA3359">
            <w:pPr>
              <w:jc w:val="center"/>
              <w:rPr>
                <w:rFonts w:ascii="Calibri" w:hAnsi="Calibri"/>
              </w:rPr>
            </w:pPr>
            <w:r w:rsidRPr="00D551B4">
              <w:rPr>
                <w:rFonts w:ascii="Calibri" w:hAnsi="Calibri"/>
              </w:rPr>
              <w:t>1</w:t>
            </w:r>
          </w:p>
        </w:tc>
        <w:tc>
          <w:tcPr>
            <w:tcW w:w="1980" w:type="dxa"/>
            <w:tcBorders>
              <w:top w:val="nil"/>
              <w:left w:val="single" w:sz="4" w:space="0" w:color="auto"/>
              <w:bottom w:val="nil"/>
              <w:right w:val="single" w:sz="4" w:space="0" w:color="auto"/>
            </w:tcBorders>
            <w:shd w:val="clear" w:color="auto" w:fill="auto"/>
            <w:noWrap/>
            <w:vAlign w:val="bottom"/>
            <w:hideMark/>
          </w:tcPr>
          <w:p w14:paraId="466C146E" w14:textId="390291DE" w:rsidR="00D551B4" w:rsidRPr="00D551B4" w:rsidRDefault="00D551B4" w:rsidP="00BA3359">
            <w:pPr>
              <w:jc w:val="center"/>
              <w:rPr>
                <w:rFonts w:ascii="Calibri" w:hAnsi="Calibri"/>
              </w:rPr>
            </w:pPr>
          </w:p>
        </w:tc>
        <w:tc>
          <w:tcPr>
            <w:tcW w:w="853" w:type="dxa"/>
            <w:tcBorders>
              <w:top w:val="nil"/>
              <w:left w:val="single" w:sz="4" w:space="0" w:color="auto"/>
              <w:bottom w:val="nil"/>
              <w:right w:val="single" w:sz="4" w:space="0" w:color="auto"/>
            </w:tcBorders>
            <w:shd w:val="clear" w:color="auto" w:fill="auto"/>
            <w:noWrap/>
            <w:vAlign w:val="bottom"/>
            <w:hideMark/>
          </w:tcPr>
          <w:p w14:paraId="3B588CFD" w14:textId="32A2D1EF" w:rsidR="00D551B4" w:rsidRPr="00D551B4" w:rsidRDefault="00D551B4" w:rsidP="00BA3359">
            <w:pPr>
              <w:jc w:val="center"/>
              <w:rPr>
                <w:rFonts w:ascii="Calibri" w:hAnsi="Calibri"/>
              </w:rPr>
            </w:pPr>
          </w:p>
        </w:tc>
        <w:tc>
          <w:tcPr>
            <w:tcW w:w="1157" w:type="dxa"/>
            <w:tcBorders>
              <w:top w:val="nil"/>
              <w:left w:val="single" w:sz="4" w:space="0" w:color="auto"/>
              <w:bottom w:val="nil"/>
              <w:right w:val="single" w:sz="4" w:space="0" w:color="auto"/>
            </w:tcBorders>
            <w:shd w:val="clear" w:color="auto" w:fill="auto"/>
            <w:noWrap/>
            <w:vAlign w:val="bottom"/>
            <w:hideMark/>
          </w:tcPr>
          <w:p w14:paraId="4F259542" w14:textId="2B5C80F6" w:rsidR="00D551B4" w:rsidRPr="00D551B4" w:rsidRDefault="00D551B4" w:rsidP="00BA3359">
            <w:pPr>
              <w:jc w:val="center"/>
              <w:rPr>
                <w:rFonts w:ascii="Calibri" w:hAnsi="Calibri"/>
              </w:rPr>
            </w:pPr>
          </w:p>
        </w:tc>
      </w:tr>
      <w:tr w:rsidR="00BA3359" w:rsidRPr="00D551B4" w14:paraId="32DC9321"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630DD1EE" w14:textId="77777777" w:rsidR="00D551B4" w:rsidRPr="00D551B4" w:rsidRDefault="00D551B4" w:rsidP="00D551B4">
            <w:pPr>
              <w:rPr>
                <w:rFonts w:ascii="Calibri" w:hAnsi="Calibri"/>
              </w:rPr>
            </w:pPr>
            <w:r w:rsidRPr="00D551B4">
              <w:rPr>
                <w:rFonts w:ascii="Calibri" w:hAnsi="Calibri"/>
              </w:rPr>
              <w:t>college_graduate</w:t>
            </w:r>
          </w:p>
        </w:tc>
        <w:tc>
          <w:tcPr>
            <w:tcW w:w="1055" w:type="dxa"/>
            <w:tcBorders>
              <w:top w:val="nil"/>
              <w:left w:val="single" w:sz="4" w:space="0" w:color="auto"/>
              <w:bottom w:val="nil"/>
              <w:right w:val="single" w:sz="4" w:space="0" w:color="auto"/>
            </w:tcBorders>
            <w:shd w:val="clear" w:color="auto" w:fill="auto"/>
            <w:noWrap/>
            <w:vAlign w:val="bottom"/>
            <w:hideMark/>
          </w:tcPr>
          <w:p w14:paraId="243B7E0A" w14:textId="77777777" w:rsidR="00D551B4" w:rsidRPr="00D551B4" w:rsidRDefault="00D551B4" w:rsidP="00BA3359">
            <w:pPr>
              <w:jc w:val="center"/>
              <w:rPr>
                <w:rFonts w:ascii="Calibri" w:hAnsi="Calibri"/>
              </w:rPr>
            </w:pPr>
            <w:r w:rsidRPr="00D551B4">
              <w:rPr>
                <w:rFonts w:ascii="Calibri" w:hAnsi="Calibri"/>
              </w:rPr>
              <w:t>0.38</w:t>
            </w:r>
          </w:p>
        </w:tc>
        <w:tc>
          <w:tcPr>
            <w:tcW w:w="1805" w:type="dxa"/>
            <w:tcBorders>
              <w:top w:val="nil"/>
              <w:left w:val="single" w:sz="4" w:space="0" w:color="auto"/>
              <w:bottom w:val="nil"/>
              <w:right w:val="single" w:sz="4" w:space="0" w:color="auto"/>
            </w:tcBorders>
            <w:shd w:val="clear" w:color="auto" w:fill="auto"/>
            <w:noWrap/>
            <w:vAlign w:val="bottom"/>
            <w:hideMark/>
          </w:tcPr>
          <w:p w14:paraId="195F12A9" w14:textId="77777777" w:rsidR="00D551B4" w:rsidRPr="00D551B4" w:rsidRDefault="00D551B4" w:rsidP="00BA3359">
            <w:pPr>
              <w:jc w:val="center"/>
              <w:rPr>
                <w:rFonts w:ascii="Calibri" w:hAnsi="Calibri"/>
              </w:rPr>
            </w:pPr>
            <w:r w:rsidRPr="00D551B4">
              <w:rPr>
                <w:rFonts w:ascii="Calibri" w:hAnsi="Calibri"/>
              </w:rPr>
              <w:t>0.33</w:t>
            </w:r>
          </w:p>
        </w:tc>
        <w:tc>
          <w:tcPr>
            <w:tcW w:w="1980" w:type="dxa"/>
            <w:tcBorders>
              <w:top w:val="nil"/>
              <w:left w:val="single" w:sz="4" w:space="0" w:color="auto"/>
              <w:bottom w:val="nil"/>
              <w:right w:val="single" w:sz="4" w:space="0" w:color="auto"/>
            </w:tcBorders>
            <w:shd w:val="clear" w:color="auto" w:fill="auto"/>
            <w:noWrap/>
            <w:vAlign w:val="bottom"/>
            <w:hideMark/>
          </w:tcPr>
          <w:p w14:paraId="6F5BACBE" w14:textId="77777777" w:rsidR="00D551B4" w:rsidRPr="00D551B4" w:rsidRDefault="00D551B4" w:rsidP="00BA3359">
            <w:pPr>
              <w:jc w:val="center"/>
              <w:rPr>
                <w:rFonts w:ascii="Calibri" w:hAnsi="Calibri"/>
              </w:rPr>
            </w:pPr>
            <w:r w:rsidRPr="00D551B4">
              <w:rPr>
                <w:rFonts w:ascii="Calibri" w:hAnsi="Calibri"/>
              </w:rPr>
              <w:t>1</w:t>
            </w:r>
          </w:p>
        </w:tc>
        <w:tc>
          <w:tcPr>
            <w:tcW w:w="853" w:type="dxa"/>
            <w:tcBorders>
              <w:top w:val="nil"/>
              <w:left w:val="single" w:sz="4" w:space="0" w:color="auto"/>
              <w:bottom w:val="nil"/>
              <w:right w:val="single" w:sz="4" w:space="0" w:color="auto"/>
            </w:tcBorders>
            <w:shd w:val="clear" w:color="auto" w:fill="auto"/>
            <w:noWrap/>
            <w:vAlign w:val="bottom"/>
            <w:hideMark/>
          </w:tcPr>
          <w:p w14:paraId="2AFEDC93" w14:textId="16CC2D9E" w:rsidR="00D551B4" w:rsidRPr="00D551B4" w:rsidRDefault="00D551B4" w:rsidP="00BA3359">
            <w:pPr>
              <w:jc w:val="center"/>
              <w:rPr>
                <w:rFonts w:ascii="Calibri" w:hAnsi="Calibri"/>
              </w:rPr>
            </w:pPr>
          </w:p>
        </w:tc>
        <w:tc>
          <w:tcPr>
            <w:tcW w:w="1157" w:type="dxa"/>
            <w:tcBorders>
              <w:top w:val="nil"/>
              <w:left w:val="single" w:sz="4" w:space="0" w:color="auto"/>
              <w:bottom w:val="nil"/>
              <w:right w:val="single" w:sz="4" w:space="0" w:color="auto"/>
            </w:tcBorders>
            <w:shd w:val="clear" w:color="auto" w:fill="auto"/>
            <w:noWrap/>
            <w:vAlign w:val="bottom"/>
            <w:hideMark/>
          </w:tcPr>
          <w:p w14:paraId="0E60CE72" w14:textId="31FECE7B" w:rsidR="00D551B4" w:rsidRPr="00D551B4" w:rsidRDefault="00D551B4" w:rsidP="00BA3359">
            <w:pPr>
              <w:jc w:val="center"/>
              <w:rPr>
                <w:rFonts w:ascii="Calibri" w:hAnsi="Calibri"/>
              </w:rPr>
            </w:pPr>
          </w:p>
        </w:tc>
      </w:tr>
      <w:tr w:rsidR="00BA3359" w:rsidRPr="00D551B4" w14:paraId="0874852F"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530516CE" w14:textId="77777777" w:rsidR="00D551B4" w:rsidRPr="00D551B4" w:rsidRDefault="00D551B4" w:rsidP="00D551B4">
            <w:pPr>
              <w:rPr>
                <w:rFonts w:ascii="Calibri" w:hAnsi="Calibri"/>
              </w:rPr>
            </w:pPr>
            <w:r w:rsidRPr="00D551B4">
              <w:rPr>
                <w:rFonts w:ascii="Calibri" w:hAnsi="Calibri"/>
              </w:rPr>
              <w:t>age</w:t>
            </w:r>
          </w:p>
        </w:tc>
        <w:tc>
          <w:tcPr>
            <w:tcW w:w="1055" w:type="dxa"/>
            <w:tcBorders>
              <w:top w:val="nil"/>
              <w:left w:val="single" w:sz="4" w:space="0" w:color="auto"/>
              <w:bottom w:val="nil"/>
              <w:right w:val="single" w:sz="4" w:space="0" w:color="auto"/>
            </w:tcBorders>
            <w:shd w:val="clear" w:color="auto" w:fill="auto"/>
            <w:noWrap/>
            <w:vAlign w:val="bottom"/>
            <w:hideMark/>
          </w:tcPr>
          <w:p w14:paraId="0548B10F" w14:textId="77777777" w:rsidR="00D551B4" w:rsidRPr="00D551B4" w:rsidRDefault="00D551B4" w:rsidP="00BA3359">
            <w:pPr>
              <w:jc w:val="center"/>
              <w:rPr>
                <w:rFonts w:ascii="Calibri" w:hAnsi="Calibri"/>
              </w:rPr>
            </w:pPr>
            <w:r w:rsidRPr="00D551B4">
              <w:rPr>
                <w:rFonts w:ascii="Calibri" w:hAnsi="Calibri"/>
              </w:rPr>
              <w:t>-0.01</w:t>
            </w:r>
          </w:p>
        </w:tc>
        <w:tc>
          <w:tcPr>
            <w:tcW w:w="1805" w:type="dxa"/>
            <w:tcBorders>
              <w:top w:val="nil"/>
              <w:left w:val="single" w:sz="4" w:space="0" w:color="auto"/>
              <w:bottom w:val="nil"/>
              <w:right w:val="single" w:sz="4" w:space="0" w:color="auto"/>
            </w:tcBorders>
            <w:shd w:val="clear" w:color="auto" w:fill="auto"/>
            <w:noWrap/>
            <w:vAlign w:val="bottom"/>
            <w:hideMark/>
          </w:tcPr>
          <w:p w14:paraId="50BD4638" w14:textId="77777777" w:rsidR="00D551B4" w:rsidRPr="00D551B4" w:rsidRDefault="00D551B4" w:rsidP="00BA3359">
            <w:pPr>
              <w:jc w:val="center"/>
              <w:rPr>
                <w:rFonts w:ascii="Calibri" w:hAnsi="Calibri"/>
              </w:rPr>
            </w:pPr>
            <w:r w:rsidRPr="00D551B4">
              <w:rPr>
                <w:rFonts w:ascii="Calibri" w:hAnsi="Calibri"/>
              </w:rPr>
              <w:t>0.02</w:t>
            </w:r>
          </w:p>
        </w:tc>
        <w:tc>
          <w:tcPr>
            <w:tcW w:w="1980" w:type="dxa"/>
            <w:tcBorders>
              <w:top w:val="nil"/>
              <w:left w:val="single" w:sz="4" w:space="0" w:color="auto"/>
              <w:bottom w:val="nil"/>
              <w:right w:val="single" w:sz="4" w:space="0" w:color="auto"/>
            </w:tcBorders>
            <w:shd w:val="clear" w:color="auto" w:fill="auto"/>
            <w:noWrap/>
            <w:vAlign w:val="bottom"/>
            <w:hideMark/>
          </w:tcPr>
          <w:p w14:paraId="083BADE9" w14:textId="77777777" w:rsidR="00D551B4" w:rsidRPr="00D551B4" w:rsidRDefault="00D551B4" w:rsidP="00BA3359">
            <w:pPr>
              <w:jc w:val="center"/>
              <w:rPr>
                <w:rFonts w:ascii="Calibri" w:hAnsi="Calibri"/>
              </w:rPr>
            </w:pPr>
            <w:r w:rsidRPr="00D551B4">
              <w:rPr>
                <w:rFonts w:ascii="Calibri" w:hAnsi="Calibri"/>
              </w:rPr>
              <w:t>0.01</w:t>
            </w:r>
          </w:p>
        </w:tc>
        <w:tc>
          <w:tcPr>
            <w:tcW w:w="853" w:type="dxa"/>
            <w:tcBorders>
              <w:top w:val="nil"/>
              <w:left w:val="single" w:sz="4" w:space="0" w:color="auto"/>
              <w:bottom w:val="nil"/>
              <w:right w:val="single" w:sz="4" w:space="0" w:color="auto"/>
            </w:tcBorders>
            <w:shd w:val="clear" w:color="auto" w:fill="auto"/>
            <w:noWrap/>
            <w:vAlign w:val="bottom"/>
            <w:hideMark/>
          </w:tcPr>
          <w:p w14:paraId="748B75C5" w14:textId="77777777" w:rsidR="00D551B4" w:rsidRPr="00D551B4" w:rsidRDefault="00D551B4" w:rsidP="00BA3359">
            <w:pPr>
              <w:jc w:val="center"/>
              <w:rPr>
                <w:rFonts w:ascii="Calibri" w:hAnsi="Calibri"/>
              </w:rPr>
            </w:pPr>
            <w:r w:rsidRPr="00D551B4">
              <w:rPr>
                <w:rFonts w:ascii="Calibri" w:hAnsi="Calibri"/>
              </w:rPr>
              <w:t>1</w:t>
            </w:r>
          </w:p>
        </w:tc>
        <w:tc>
          <w:tcPr>
            <w:tcW w:w="1157" w:type="dxa"/>
            <w:tcBorders>
              <w:top w:val="nil"/>
              <w:left w:val="single" w:sz="4" w:space="0" w:color="auto"/>
              <w:bottom w:val="nil"/>
              <w:right w:val="single" w:sz="4" w:space="0" w:color="auto"/>
            </w:tcBorders>
            <w:shd w:val="clear" w:color="auto" w:fill="auto"/>
            <w:noWrap/>
            <w:vAlign w:val="bottom"/>
            <w:hideMark/>
          </w:tcPr>
          <w:p w14:paraId="2531F443" w14:textId="1744147C" w:rsidR="00D551B4" w:rsidRPr="00D551B4" w:rsidRDefault="00D551B4" w:rsidP="00BA3359">
            <w:pPr>
              <w:jc w:val="center"/>
              <w:rPr>
                <w:rFonts w:ascii="Calibri" w:hAnsi="Calibri"/>
              </w:rPr>
            </w:pPr>
          </w:p>
        </w:tc>
      </w:tr>
      <w:tr w:rsidR="00BA3359" w:rsidRPr="00D551B4" w14:paraId="42B35DA0"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7926238D" w14:textId="77777777" w:rsidR="00D551B4" w:rsidRPr="00D551B4" w:rsidRDefault="00D551B4" w:rsidP="00D551B4">
            <w:pPr>
              <w:rPr>
                <w:rFonts w:ascii="Calibri" w:hAnsi="Calibri"/>
              </w:rPr>
            </w:pPr>
            <w:r w:rsidRPr="00D551B4">
              <w:rPr>
                <w:rFonts w:ascii="Calibri" w:hAnsi="Calibri"/>
              </w:rPr>
              <w:t>married</w:t>
            </w:r>
          </w:p>
        </w:tc>
        <w:tc>
          <w:tcPr>
            <w:tcW w:w="1055" w:type="dxa"/>
            <w:tcBorders>
              <w:top w:val="nil"/>
              <w:left w:val="single" w:sz="4" w:space="0" w:color="auto"/>
              <w:bottom w:val="nil"/>
              <w:right w:val="single" w:sz="4" w:space="0" w:color="auto"/>
            </w:tcBorders>
            <w:shd w:val="clear" w:color="auto" w:fill="auto"/>
            <w:noWrap/>
            <w:vAlign w:val="bottom"/>
            <w:hideMark/>
          </w:tcPr>
          <w:p w14:paraId="472EE35D" w14:textId="77777777" w:rsidR="00D551B4" w:rsidRPr="00D551B4" w:rsidRDefault="00D551B4" w:rsidP="00BA3359">
            <w:pPr>
              <w:jc w:val="center"/>
              <w:rPr>
                <w:rFonts w:ascii="Calibri" w:hAnsi="Calibri"/>
              </w:rPr>
            </w:pPr>
            <w:r w:rsidRPr="00D551B4">
              <w:rPr>
                <w:rFonts w:ascii="Calibri" w:hAnsi="Calibri"/>
              </w:rPr>
              <w:t>0.11</w:t>
            </w:r>
          </w:p>
        </w:tc>
        <w:tc>
          <w:tcPr>
            <w:tcW w:w="1805" w:type="dxa"/>
            <w:tcBorders>
              <w:top w:val="nil"/>
              <w:left w:val="single" w:sz="4" w:space="0" w:color="auto"/>
              <w:bottom w:val="nil"/>
              <w:right w:val="single" w:sz="4" w:space="0" w:color="auto"/>
            </w:tcBorders>
            <w:shd w:val="clear" w:color="auto" w:fill="auto"/>
            <w:noWrap/>
            <w:vAlign w:val="bottom"/>
            <w:hideMark/>
          </w:tcPr>
          <w:p w14:paraId="6CD54C76" w14:textId="77777777" w:rsidR="00D551B4" w:rsidRPr="00D551B4" w:rsidRDefault="00D551B4" w:rsidP="00BA3359">
            <w:pPr>
              <w:jc w:val="center"/>
              <w:rPr>
                <w:rFonts w:ascii="Calibri" w:hAnsi="Calibri"/>
              </w:rPr>
            </w:pPr>
            <w:r w:rsidRPr="00D551B4">
              <w:rPr>
                <w:rFonts w:ascii="Calibri" w:hAnsi="Calibri"/>
              </w:rPr>
              <w:t>0.04</w:t>
            </w:r>
          </w:p>
        </w:tc>
        <w:tc>
          <w:tcPr>
            <w:tcW w:w="1980" w:type="dxa"/>
            <w:tcBorders>
              <w:top w:val="nil"/>
              <w:left w:val="single" w:sz="4" w:space="0" w:color="auto"/>
              <w:bottom w:val="nil"/>
              <w:right w:val="single" w:sz="4" w:space="0" w:color="auto"/>
            </w:tcBorders>
            <w:shd w:val="clear" w:color="auto" w:fill="auto"/>
            <w:noWrap/>
            <w:vAlign w:val="bottom"/>
            <w:hideMark/>
          </w:tcPr>
          <w:p w14:paraId="4DE3375D" w14:textId="77777777" w:rsidR="00D551B4" w:rsidRPr="00D551B4" w:rsidRDefault="00D551B4" w:rsidP="00BA3359">
            <w:pPr>
              <w:jc w:val="center"/>
              <w:rPr>
                <w:rFonts w:ascii="Calibri" w:hAnsi="Calibri"/>
              </w:rPr>
            </w:pPr>
            <w:r w:rsidRPr="00D551B4">
              <w:rPr>
                <w:rFonts w:ascii="Calibri" w:hAnsi="Calibri"/>
              </w:rPr>
              <w:t>0.11</w:t>
            </w:r>
          </w:p>
        </w:tc>
        <w:tc>
          <w:tcPr>
            <w:tcW w:w="853" w:type="dxa"/>
            <w:tcBorders>
              <w:top w:val="nil"/>
              <w:left w:val="single" w:sz="4" w:space="0" w:color="auto"/>
              <w:bottom w:val="nil"/>
              <w:right w:val="single" w:sz="4" w:space="0" w:color="auto"/>
            </w:tcBorders>
            <w:shd w:val="clear" w:color="auto" w:fill="auto"/>
            <w:noWrap/>
            <w:vAlign w:val="bottom"/>
            <w:hideMark/>
          </w:tcPr>
          <w:p w14:paraId="20CFC53A" w14:textId="77777777" w:rsidR="00D551B4" w:rsidRPr="00D551B4" w:rsidRDefault="00D551B4" w:rsidP="00BA3359">
            <w:pPr>
              <w:jc w:val="center"/>
              <w:rPr>
                <w:rFonts w:ascii="Calibri" w:hAnsi="Calibri"/>
              </w:rPr>
            </w:pPr>
            <w:r w:rsidRPr="00D551B4">
              <w:rPr>
                <w:rFonts w:ascii="Calibri" w:hAnsi="Calibri"/>
              </w:rPr>
              <w:t>0.02</w:t>
            </w:r>
          </w:p>
        </w:tc>
        <w:tc>
          <w:tcPr>
            <w:tcW w:w="1157" w:type="dxa"/>
            <w:tcBorders>
              <w:top w:val="nil"/>
              <w:left w:val="single" w:sz="4" w:space="0" w:color="auto"/>
              <w:bottom w:val="nil"/>
              <w:right w:val="single" w:sz="4" w:space="0" w:color="auto"/>
            </w:tcBorders>
            <w:shd w:val="clear" w:color="auto" w:fill="auto"/>
            <w:noWrap/>
            <w:vAlign w:val="bottom"/>
            <w:hideMark/>
          </w:tcPr>
          <w:p w14:paraId="5DCDFEC3" w14:textId="77777777" w:rsidR="00D551B4" w:rsidRPr="00D551B4" w:rsidRDefault="00D551B4" w:rsidP="00BA3359">
            <w:pPr>
              <w:jc w:val="center"/>
              <w:rPr>
                <w:rFonts w:ascii="Calibri" w:hAnsi="Calibri"/>
              </w:rPr>
            </w:pPr>
            <w:r w:rsidRPr="00D551B4">
              <w:rPr>
                <w:rFonts w:ascii="Calibri" w:hAnsi="Calibri"/>
              </w:rPr>
              <w:t>1</w:t>
            </w:r>
          </w:p>
        </w:tc>
      </w:tr>
      <w:tr w:rsidR="00BA3359" w:rsidRPr="00D551B4" w14:paraId="40AF91F9"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761B9458" w14:textId="77777777" w:rsidR="00D551B4" w:rsidRPr="00D551B4" w:rsidRDefault="00D551B4" w:rsidP="00D551B4">
            <w:pPr>
              <w:rPr>
                <w:rFonts w:ascii="Calibri" w:hAnsi="Calibri"/>
              </w:rPr>
            </w:pPr>
            <w:r w:rsidRPr="00D551B4">
              <w:rPr>
                <w:rFonts w:ascii="Calibri" w:hAnsi="Calibri"/>
              </w:rPr>
              <w:t>hours</w:t>
            </w:r>
          </w:p>
        </w:tc>
        <w:tc>
          <w:tcPr>
            <w:tcW w:w="1055" w:type="dxa"/>
            <w:tcBorders>
              <w:top w:val="nil"/>
              <w:left w:val="single" w:sz="4" w:space="0" w:color="auto"/>
              <w:bottom w:val="nil"/>
              <w:right w:val="single" w:sz="4" w:space="0" w:color="auto"/>
            </w:tcBorders>
            <w:shd w:val="clear" w:color="auto" w:fill="auto"/>
            <w:noWrap/>
            <w:vAlign w:val="bottom"/>
            <w:hideMark/>
          </w:tcPr>
          <w:p w14:paraId="1B16F047" w14:textId="77777777" w:rsidR="00D551B4" w:rsidRPr="00D551B4" w:rsidRDefault="00D551B4" w:rsidP="00BA3359">
            <w:pPr>
              <w:jc w:val="center"/>
              <w:rPr>
                <w:rFonts w:ascii="Calibri" w:hAnsi="Calibri"/>
              </w:rPr>
            </w:pPr>
            <w:r w:rsidRPr="00D551B4">
              <w:rPr>
                <w:rFonts w:ascii="Calibri" w:hAnsi="Calibri"/>
              </w:rPr>
              <w:t>0.20</w:t>
            </w:r>
          </w:p>
        </w:tc>
        <w:tc>
          <w:tcPr>
            <w:tcW w:w="1805" w:type="dxa"/>
            <w:tcBorders>
              <w:top w:val="nil"/>
              <w:left w:val="single" w:sz="4" w:space="0" w:color="auto"/>
              <w:bottom w:val="nil"/>
              <w:right w:val="single" w:sz="4" w:space="0" w:color="auto"/>
            </w:tcBorders>
            <w:shd w:val="clear" w:color="auto" w:fill="auto"/>
            <w:noWrap/>
            <w:vAlign w:val="bottom"/>
            <w:hideMark/>
          </w:tcPr>
          <w:p w14:paraId="5A0C9474" w14:textId="77777777" w:rsidR="00D551B4" w:rsidRPr="00D551B4" w:rsidRDefault="00D551B4" w:rsidP="00BA3359">
            <w:pPr>
              <w:jc w:val="center"/>
              <w:rPr>
                <w:rFonts w:ascii="Calibri" w:hAnsi="Calibri"/>
              </w:rPr>
            </w:pPr>
            <w:r w:rsidRPr="00D551B4">
              <w:rPr>
                <w:rFonts w:ascii="Calibri" w:hAnsi="Calibri"/>
              </w:rPr>
              <w:t>-0.01</w:t>
            </w:r>
          </w:p>
        </w:tc>
        <w:tc>
          <w:tcPr>
            <w:tcW w:w="1980" w:type="dxa"/>
            <w:tcBorders>
              <w:top w:val="nil"/>
              <w:left w:val="single" w:sz="4" w:space="0" w:color="auto"/>
              <w:bottom w:val="nil"/>
              <w:right w:val="single" w:sz="4" w:space="0" w:color="auto"/>
            </w:tcBorders>
            <w:shd w:val="clear" w:color="auto" w:fill="auto"/>
            <w:noWrap/>
            <w:vAlign w:val="bottom"/>
            <w:hideMark/>
          </w:tcPr>
          <w:p w14:paraId="2FA81CFA" w14:textId="77777777" w:rsidR="00D551B4" w:rsidRPr="00D551B4" w:rsidRDefault="00D551B4" w:rsidP="00BA3359">
            <w:pPr>
              <w:jc w:val="center"/>
              <w:rPr>
                <w:rFonts w:ascii="Calibri" w:hAnsi="Calibri"/>
              </w:rPr>
            </w:pPr>
            <w:r w:rsidRPr="00D551B4">
              <w:rPr>
                <w:rFonts w:ascii="Calibri" w:hAnsi="Calibri"/>
              </w:rPr>
              <w:t>0.06</w:t>
            </w:r>
          </w:p>
        </w:tc>
        <w:tc>
          <w:tcPr>
            <w:tcW w:w="853" w:type="dxa"/>
            <w:tcBorders>
              <w:top w:val="nil"/>
              <w:left w:val="single" w:sz="4" w:space="0" w:color="auto"/>
              <w:bottom w:val="nil"/>
              <w:right w:val="single" w:sz="4" w:space="0" w:color="auto"/>
            </w:tcBorders>
            <w:shd w:val="clear" w:color="auto" w:fill="auto"/>
            <w:noWrap/>
            <w:vAlign w:val="bottom"/>
            <w:hideMark/>
          </w:tcPr>
          <w:p w14:paraId="5F6C7FCE" w14:textId="77777777" w:rsidR="00D551B4" w:rsidRPr="00D551B4" w:rsidRDefault="00D551B4" w:rsidP="00BA3359">
            <w:pPr>
              <w:jc w:val="center"/>
              <w:rPr>
                <w:rFonts w:ascii="Calibri" w:hAnsi="Calibri"/>
              </w:rPr>
            </w:pPr>
            <w:r w:rsidRPr="00D551B4">
              <w:rPr>
                <w:rFonts w:ascii="Calibri" w:hAnsi="Calibri"/>
              </w:rPr>
              <w:t>-0.02</w:t>
            </w:r>
          </w:p>
        </w:tc>
        <w:tc>
          <w:tcPr>
            <w:tcW w:w="1157" w:type="dxa"/>
            <w:tcBorders>
              <w:top w:val="nil"/>
              <w:left w:val="single" w:sz="4" w:space="0" w:color="auto"/>
              <w:bottom w:val="nil"/>
              <w:right w:val="single" w:sz="4" w:space="0" w:color="auto"/>
            </w:tcBorders>
            <w:shd w:val="clear" w:color="auto" w:fill="auto"/>
            <w:noWrap/>
            <w:vAlign w:val="bottom"/>
            <w:hideMark/>
          </w:tcPr>
          <w:p w14:paraId="606FEBA2" w14:textId="77777777" w:rsidR="00D551B4" w:rsidRPr="00D551B4" w:rsidRDefault="00D551B4" w:rsidP="00BA3359">
            <w:pPr>
              <w:jc w:val="center"/>
              <w:rPr>
                <w:rFonts w:ascii="Calibri" w:hAnsi="Calibri"/>
              </w:rPr>
            </w:pPr>
            <w:r w:rsidRPr="00D551B4">
              <w:rPr>
                <w:rFonts w:ascii="Calibri" w:hAnsi="Calibri"/>
              </w:rPr>
              <w:t>0.01</w:t>
            </w:r>
          </w:p>
        </w:tc>
      </w:tr>
      <w:tr w:rsidR="00BA3359" w:rsidRPr="00D551B4" w14:paraId="0D2E172A"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2A7FDB6B" w14:textId="77777777" w:rsidR="00D551B4" w:rsidRPr="00D551B4" w:rsidRDefault="00D551B4" w:rsidP="00D551B4">
            <w:pPr>
              <w:rPr>
                <w:rFonts w:ascii="Calibri" w:hAnsi="Calibri"/>
              </w:rPr>
            </w:pPr>
            <w:r w:rsidRPr="00D551B4">
              <w:rPr>
                <w:rFonts w:ascii="Calibri" w:hAnsi="Calibri"/>
              </w:rPr>
              <w:t>Male</w:t>
            </w:r>
          </w:p>
        </w:tc>
        <w:tc>
          <w:tcPr>
            <w:tcW w:w="1055" w:type="dxa"/>
            <w:tcBorders>
              <w:top w:val="nil"/>
              <w:left w:val="single" w:sz="4" w:space="0" w:color="auto"/>
              <w:bottom w:val="nil"/>
              <w:right w:val="single" w:sz="4" w:space="0" w:color="auto"/>
            </w:tcBorders>
            <w:shd w:val="clear" w:color="auto" w:fill="auto"/>
            <w:noWrap/>
            <w:vAlign w:val="bottom"/>
            <w:hideMark/>
          </w:tcPr>
          <w:p w14:paraId="0611692C" w14:textId="77777777" w:rsidR="00D551B4" w:rsidRPr="00D551B4" w:rsidRDefault="00D551B4" w:rsidP="00BA3359">
            <w:pPr>
              <w:jc w:val="center"/>
              <w:rPr>
                <w:rFonts w:ascii="Calibri" w:hAnsi="Calibri"/>
              </w:rPr>
            </w:pPr>
            <w:r w:rsidRPr="00D551B4">
              <w:rPr>
                <w:rFonts w:ascii="Calibri" w:hAnsi="Calibri"/>
              </w:rPr>
              <w:t>0.25</w:t>
            </w:r>
          </w:p>
        </w:tc>
        <w:tc>
          <w:tcPr>
            <w:tcW w:w="1805" w:type="dxa"/>
            <w:tcBorders>
              <w:top w:val="nil"/>
              <w:left w:val="single" w:sz="4" w:space="0" w:color="auto"/>
              <w:bottom w:val="nil"/>
              <w:right w:val="single" w:sz="4" w:space="0" w:color="auto"/>
            </w:tcBorders>
            <w:shd w:val="clear" w:color="auto" w:fill="auto"/>
            <w:noWrap/>
            <w:vAlign w:val="bottom"/>
            <w:hideMark/>
          </w:tcPr>
          <w:p w14:paraId="64FC7388" w14:textId="77777777" w:rsidR="00D551B4" w:rsidRPr="00D551B4" w:rsidRDefault="00D551B4" w:rsidP="00BA3359">
            <w:pPr>
              <w:jc w:val="center"/>
              <w:rPr>
                <w:rFonts w:ascii="Calibri" w:hAnsi="Calibri"/>
              </w:rPr>
            </w:pPr>
            <w:r w:rsidRPr="00D551B4">
              <w:rPr>
                <w:rFonts w:ascii="Calibri" w:hAnsi="Calibri"/>
              </w:rPr>
              <w:t>-0.01</w:t>
            </w:r>
          </w:p>
        </w:tc>
        <w:tc>
          <w:tcPr>
            <w:tcW w:w="1980" w:type="dxa"/>
            <w:tcBorders>
              <w:top w:val="nil"/>
              <w:left w:val="single" w:sz="4" w:space="0" w:color="auto"/>
              <w:bottom w:val="nil"/>
              <w:right w:val="single" w:sz="4" w:space="0" w:color="auto"/>
            </w:tcBorders>
            <w:shd w:val="clear" w:color="auto" w:fill="auto"/>
            <w:noWrap/>
            <w:vAlign w:val="bottom"/>
            <w:hideMark/>
          </w:tcPr>
          <w:p w14:paraId="43E90B3D" w14:textId="77777777" w:rsidR="00D551B4" w:rsidRPr="00D551B4" w:rsidRDefault="00D551B4" w:rsidP="00BA3359">
            <w:pPr>
              <w:jc w:val="center"/>
              <w:rPr>
                <w:rFonts w:ascii="Calibri" w:hAnsi="Calibri"/>
              </w:rPr>
            </w:pPr>
            <w:r w:rsidRPr="00D551B4">
              <w:rPr>
                <w:rFonts w:ascii="Calibri" w:hAnsi="Calibri"/>
              </w:rPr>
              <w:t>0.00</w:t>
            </w:r>
          </w:p>
        </w:tc>
        <w:tc>
          <w:tcPr>
            <w:tcW w:w="853" w:type="dxa"/>
            <w:tcBorders>
              <w:top w:val="nil"/>
              <w:left w:val="single" w:sz="4" w:space="0" w:color="auto"/>
              <w:bottom w:val="nil"/>
              <w:right w:val="single" w:sz="4" w:space="0" w:color="auto"/>
            </w:tcBorders>
            <w:shd w:val="clear" w:color="auto" w:fill="auto"/>
            <w:noWrap/>
            <w:vAlign w:val="bottom"/>
            <w:hideMark/>
          </w:tcPr>
          <w:p w14:paraId="5E60ED0A" w14:textId="77777777" w:rsidR="00D551B4" w:rsidRPr="00D551B4" w:rsidRDefault="00D551B4" w:rsidP="00BA3359">
            <w:pPr>
              <w:jc w:val="center"/>
              <w:rPr>
                <w:rFonts w:ascii="Calibri" w:hAnsi="Calibri"/>
              </w:rPr>
            </w:pPr>
            <w:r w:rsidRPr="00D551B4">
              <w:rPr>
                <w:rFonts w:ascii="Calibri" w:hAnsi="Calibri"/>
              </w:rPr>
              <w:t>-0.03</w:t>
            </w:r>
          </w:p>
        </w:tc>
        <w:tc>
          <w:tcPr>
            <w:tcW w:w="1157" w:type="dxa"/>
            <w:tcBorders>
              <w:top w:val="nil"/>
              <w:left w:val="single" w:sz="4" w:space="0" w:color="auto"/>
              <w:bottom w:val="nil"/>
              <w:right w:val="single" w:sz="4" w:space="0" w:color="auto"/>
            </w:tcBorders>
            <w:shd w:val="clear" w:color="auto" w:fill="auto"/>
            <w:noWrap/>
            <w:vAlign w:val="bottom"/>
            <w:hideMark/>
          </w:tcPr>
          <w:p w14:paraId="47727638" w14:textId="77777777" w:rsidR="00D551B4" w:rsidRPr="00D551B4" w:rsidRDefault="00D551B4" w:rsidP="00BA3359">
            <w:pPr>
              <w:jc w:val="center"/>
              <w:rPr>
                <w:rFonts w:ascii="Calibri" w:hAnsi="Calibri"/>
              </w:rPr>
            </w:pPr>
            <w:r w:rsidRPr="00D551B4">
              <w:rPr>
                <w:rFonts w:ascii="Calibri" w:hAnsi="Calibri"/>
              </w:rPr>
              <w:t>-0.04</w:t>
            </w:r>
          </w:p>
        </w:tc>
      </w:tr>
      <w:tr w:rsidR="00BA3359" w:rsidRPr="00D551B4" w14:paraId="22D0BC6A"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3C3B7169" w14:textId="77777777" w:rsidR="00D551B4" w:rsidRPr="00D551B4" w:rsidRDefault="00D551B4" w:rsidP="00D551B4">
            <w:pPr>
              <w:rPr>
                <w:rFonts w:ascii="Calibri" w:hAnsi="Calibri"/>
              </w:rPr>
            </w:pPr>
            <w:r w:rsidRPr="00D551B4">
              <w:rPr>
                <w:rFonts w:ascii="Calibri" w:hAnsi="Calibri"/>
              </w:rPr>
              <w:t>Rural</w:t>
            </w:r>
          </w:p>
        </w:tc>
        <w:tc>
          <w:tcPr>
            <w:tcW w:w="1055" w:type="dxa"/>
            <w:tcBorders>
              <w:top w:val="nil"/>
              <w:left w:val="single" w:sz="4" w:space="0" w:color="auto"/>
              <w:bottom w:val="nil"/>
              <w:right w:val="single" w:sz="4" w:space="0" w:color="auto"/>
            </w:tcBorders>
            <w:shd w:val="clear" w:color="auto" w:fill="auto"/>
            <w:noWrap/>
            <w:vAlign w:val="bottom"/>
            <w:hideMark/>
          </w:tcPr>
          <w:p w14:paraId="4F7AAA1A" w14:textId="77777777" w:rsidR="00D551B4" w:rsidRPr="00D551B4" w:rsidRDefault="00D551B4" w:rsidP="00BA3359">
            <w:pPr>
              <w:jc w:val="center"/>
              <w:rPr>
                <w:rFonts w:ascii="Calibri" w:hAnsi="Calibri"/>
              </w:rPr>
            </w:pPr>
            <w:r w:rsidRPr="00D551B4">
              <w:rPr>
                <w:rFonts w:ascii="Calibri" w:hAnsi="Calibri"/>
              </w:rPr>
              <w:t>-0.06</w:t>
            </w:r>
          </w:p>
        </w:tc>
        <w:tc>
          <w:tcPr>
            <w:tcW w:w="1805" w:type="dxa"/>
            <w:tcBorders>
              <w:top w:val="nil"/>
              <w:left w:val="single" w:sz="4" w:space="0" w:color="auto"/>
              <w:bottom w:val="nil"/>
              <w:right w:val="single" w:sz="4" w:space="0" w:color="auto"/>
            </w:tcBorders>
            <w:shd w:val="clear" w:color="auto" w:fill="auto"/>
            <w:noWrap/>
            <w:vAlign w:val="bottom"/>
            <w:hideMark/>
          </w:tcPr>
          <w:p w14:paraId="2FDC82EF" w14:textId="77777777" w:rsidR="00D551B4" w:rsidRPr="00D551B4" w:rsidRDefault="00D551B4" w:rsidP="00BA3359">
            <w:pPr>
              <w:jc w:val="center"/>
              <w:rPr>
                <w:rFonts w:ascii="Calibri" w:hAnsi="Calibri"/>
              </w:rPr>
            </w:pPr>
            <w:r w:rsidRPr="00D551B4">
              <w:rPr>
                <w:rFonts w:ascii="Calibri" w:hAnsi="Calibri"/>
              </w:rPr>
              <w:t>-0.10</w:t>
            </w:r>
          </w:p>
        </w:tc>
        <w:tc>
          <w:tcPr>
            <w:tcW w:w="1980" w:type="dxa"/>
            <w:tcBorders>
              <w:top w:val="nil"/>
              <w:left w:val="single" w:sz="4" w:space="0" w:color="auto"/>
              <w:bottom w:val="nil"/>
              <w:right w:val="single" w:sz="4" w:space="0" w:color="auto"/>
            </w:tcBorders>
            <w:shd w:val="clear" w:color="auto" w:fill="auto"/>
            <w:noWrap/>
            <w:vAlign w:val="bottom"/>
            <w:hideMark/>
          </w:tcPr>
          <w:p w14:paraId="3997DC59" w14:textId="77777777" w:rsidR="00D551B4" w:rsidRPr="00D551B4" w:rsidRDefault="00D551B4" w:rsidP="00BA3359">
            <w:pPr>
              <w:jc w:val="center"/>
              <w:rPr>
                <w:rFonts w:ascii="Calibri" w:hAnsi="Calibri"/>
              </w:rPr>
            </w:pPr>
            <w:r w:rsidRPr="00D551B4">
              <w:rPr>
                <w:rFonts w:ascii="Calibri" w:hAnsi="Calibri"/>
              </w:rPr>
              <w:t>-0.11</w:t>
            </w:r>
          </w:p>
        </w:tc>
        <w:tc>
          <w:tcPr>
            <w:tcW w:w="853" w:type="dxa"/>
            <w:tcBorders>
              <w:top w:val="nil"/>
              <w:left w:val="single" w:sz="4" w:space="0" w:color="auto"/>
              <w:bottom w:val="nil"/>
              <w:right w:val="single" w:sz="4" w:space="0" w:color="auto"/>
            </w:tcBorders>
            <w:shd w:val="clear" w:color="auto" w:fill="auto"/>
            <w:noWrap/>
            <w:vAlign w:val="bottom"/>
            <w:hideMark/>
          </w:tcPr>
          <w:p w14:paraId="11ED0DCA" w14:textId="77777777" w:rsidR="00D551B4" w:rsidRPr="00D551B4" w:rsidRDefault="00D551B4" w:rsidP="00BA3359">
            <w:pPr>
              <w:jc w:val="center"/>
              <w:rPr>
                <w:rFonts w:ascii="Calibri" w:hAnsi="Calibri"/>
              </w:rPr>
            </w:pPr>
            <w:r w:rsidRPr="00D551B4">
              <w:rPr>
                <w:rFonts w:ascii="Calibri" w:hAnsi="Calibri"/>
              </w:rPr>
              <w:t>0.01</w:t>
            </w:r>
          </w:p>
        </w:tc>
        <w:tc>
          <w:tcPr>
            <w:tcW w:w="1157" w:type="dxa"/>
            <w:tcBorders>
              <w:top w:val="nil"/>
              <w:left w:val="single" w:sz="4" w:space="0" w:color="auto"/>
              <w:bottom w:val="nil"/>
              <w:right w:val="single" w:sz="4" w:space="0" w:color="auto"/>
            </w:tcBorders>
            <w:shd w:val="clear" w:color="auto" w:fill="auto"/>
            <w:noWrap/>
            <w:vAlign w:val="bottom"/>
            <w:hideMark/>
          </w:tcPr>
          <w:p w14:paraId="4E36AE7C" w14:textId="77777777" w:rsidR="00D551B4" w:rsidRPr="00D551B4" w:rsidRDefault="00D551B4" w:rsidP="00BA3359">
            <w:pPr>
              <w:jc w:val="center"/>
              <w:rPr>
                <w:rFonts w:ascii="Calibri" w:hAnsi="Calibri"/>
              </w:rPr>
            </w:pPr>
            <w:r w:rsidRPr="00D551B4">
              <w:rPr>
                <w:rFonts w:ascii="Calibri" w:hAnsi="Calibri"/>
              </w:rPr>
              <w:t>0.08</w:t>
            </w:r>
          </w:p>
        </w:tc>
      </w:tr>
      <w:tr w:rsidR="00BA3359" w:rsidRPr="00D551B4" w14:paraId="7C483B06"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3CD90187" w14:textId="77777777" w:rsidR="00D551B4" w:rsidRPr="00D551B4" w:rsidRDefault="00D551B4" w:rsidP="00D551B4">
            <w:pPr>
              <w:rPr>
                <w:rFonts w:ascii="Calibri" w:hAnsi="Calibri"/>
              </w:rPr>
            </w:pPr>
            <w:r w:rsidRPr="00D551B4">
              <w:rPr>
                <w:rFonts w:ascii="Calibri" w:hAnsi="Calibri"/>
              </w:rPr>
              <w:t>IQ_Less_80</w:t>
            </w:r>
          </w:p>
        </w:tc>
        <w:tc>
          <w:tcPr>
            <w:tcW w:w="1055" w:type="dxa"/>
            <w:tcBorders>
              <w:top w:val="nil"/>
              <w:left w:val="single" w:sz="4" w:space="0" w:color="auto"/>
              <w:bottom w:val="nil"/>
              <w:right w:val="single" w:sz="4" w:space="0" w:color="auto"/>
            </w:tcBorders>
            <w:shd w:val="clear" w:color="auto" w:fill="auto"/>
            <w:noWrap/>
            <w:vAlign w:val="bottom"/>
            <w:hideMark/>
          </w:tcPr>
          <w:p w14:paraId="6C1C7BC5" w14:textId="77777777" w:rsidR="00D551B4" w:rsidRPr="00D551B4" w:rsidRDefault="00D551B4" w:rsidP="00BA3359">
            <w:pPr>
              <w:jc w:val="center"/>
              <w:rPr>
                <w:rFonts w:ascii="Calibri" w:hAnsi="Calibri"/>
              </w:rPr>
            </w:pPr>
            <w:r w:rsidRPr="00D551B4">
              <w:rPr>
                <w:rFonts w:ascii="Calibri" w:hAnsi="Calibri"/>
              </w:rPr>
              <w:t>-0.17</w:t>
            </w:r>
          </w:p>
        </w:tc>
        <w:tc>
          <w:tcPr>
            <w:tcW w:w="1805" w:type="dxa"/>
            <w:tcBorders>
              <w:top w:val="nil"/>
              <w:left w:val="single" w:sz="4" w:space="0" w:color="auto"/>
              <w:bottom w:val="nil"/>
              <w:right w:val="single" w:sz="4" w:space="0" w:color="auto"/>
            </w:tcBorders>
            <w:shd w:val="clear" w:color="auto" w:fill="auto"/>
            <w:noWrap/>
            <w:vAlign w:val="bottom"/>
            <w:hideMark/>
          </w:tcPr>
          <w:p w14:paraId="1BC52BB4" w14:textId="77777777" w:rsidR="00D551B4" w:rsidRPr="00D551B4" w:rsidRDefault="00D551B4" w:rsidP="00BA3359">
            <w:pPr>
              <w:jc w:val="center"/>
              <w:rPr>
                <w:rFonts w:ascii="Calibri" w:hAnsi="Calibri"/>
              </w:rPr>
            </w:pPr>
            <w:r w:rsidRPr="00D551B4">
              <w:rPr>
                <w:rFonts w:ascii="Calibri" w:hAnsi="Calibri"/>
              </w:rPr>
              <w:t>-0.13</w:t>
            </w:r>
          </w:p>
        </w:tc>
        <w:tc>
          <w:tcPr>
            <w:tcW w:w="1980" w:type="dxa"/>
            <w:tcBorders>
              <w:top w:val="nil"/>
              <w:left w:val="single" w:sz="4" w:space="0" w:color="auto"/>
              <w:bottom w:val="nil"/>
              <w:right w:val="single" w:sz="4" w:space="0" w:color="auto"/>
            </w:tcBorders>
            <w:shd w:val="clear" w:color="auto" w:fill="auto"/>
            <w:noWrap/>
            <w:vAlign w:val="bottom"/>
            <w:hideMark/>
          </w:tcPr>
          <w:p w14:paraId="762A6B09" w14:textId="77777777" w:rsidR="00D551B4" w:rsidRPr="00D551B4" w:rsidRDefault="00D551B4" w:rsidP="00BA3359">
            <w:pPr>
              <w:jc w:val="center"/>
              <w:rPr>
                <w:rFonts w:ascii="Calibri" w:hAnsi="Calibri"/>
              </w:rPr>
            </w:pPr>
            <w:r w:rsidRPr="00D551B4">
              <w:rPr>
                <w:rFonts w:ascii="Calibri" w:hAnsi="Calibri"/>
              </w:rPr>
              <w:t>-0.20</w:t>
            </w:r>
          </w:p>
        </w:tc>
        <w:tc>
          <w:tcPr>
            <w:tcW w:w="853" w:type="dxa"/>
            <w:tcBorders>
              <w:top w:val="nil"/>
              <w:left w:val="single" w:sz="4" w:space="0" w:color="auto"/>
              <w:bottom w:val="nil"/>
              <w:right w:val="single" w:sz="4" w:space="0" w:color="auto"/>
            </w:tcBorders>
            <w:shd w:val="clear" w:color="auto" w:fill="auto"/>
            <w:noWrap/>
            <w:vAlign w:val="bottom"/>
            <w:hideMark/>
          </w:tcPr>
          <w:p w14:paraId="54591F85" w14:textId="77777777" w:rsidR="00D551B4" w:rsidRPr="00D551B4" w:rsidRDefault="00D551B4" w:rsidP="00BA3359">
            <w:pPr>
              <w:jc w:val="center"/>
              <w:rPr>
                <w:rFonts w:ascii="Calibri" w:hAnsi="Calibri"/>
              </w:rPr>
            </w:pPr>
            <w:r w:rsidRPr="00D551B4">
              <w:rPr>
                <w:rFonts w:ascii="Calibri" w:hAnsi="Calibri"/>
              </w:rPr>
              <w:t>0.01</w:t>
            </w:r>
          </w:p>
        </w:tc>
        <w:tc>
          <w:tcPr>
            <w:tcW w:w="1157" w:type="dxa"/>
            <w:tcBorders>
              <w:top w:val="nil"/>
              <w:left w:val="single" w:sz="4" w:space="0" w:color="auto"/>
              <w:bottom w:val="nil"/>
              <w:right w:val="single" w:sz="4" w:space="0" w:color="auto"/>
            </w:tcBorders>
            <w:shd w:val="clear" w:color="auto" w:fill="auto"/>
            <w:noWrap/>
            <w:vAlign w:val="bottom"/>
            <w:hideMark/>
          </w:tcPr>
          <w:p w14:paraId="7A1B16D7" w14:textId="77777777" w:rsidR="00D551B4" w:rsidRPr="00D551B4" w:rsidRDefault="00D551B4" w:rsidP="00BA3359">
            <w:pPr>
              <w:jc w:val="center"/>
              <w:rPr>
                <w:rFonts w:ascii="Calibri" w:hAnsi="Calibri"/>
              </w:rPr>
            </w:pPr>
            <w:r w:rsidRPr="00D551B4">
              <w:rPr>
                <w:rFonts w:ascii="Calibri" w:hAnsi="Calibri"/>
              </w:rPr>
              <w:t>-0.10</w:t>
            </w:r>
          </w:p>
        </w:tc>
      </w:tr>
      <w:tr w:rsidR="00BA3359" w:rsidRPr="00D551B4" w14:paraId="64777BD4"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7A0D5E5F" w14:textId="77777777" w:rsidR="00D551B4" w:rsidRPr="00D551B4" w:rsidRDefault="00D551B4" w:rsidP="00D551B4">
            <w:pPr>
              <w:rPr>
                <w:rFonts w:ascii="Calibri" w:hAnsi="Calibri"/>
              </w:rPr>
            </w:pPr>
            <w:r w:rsidRPr="00D551B4">
              <w:rPr>
                <w:rFonts w:ascii="Calibri" w:hAnsi="Calibri"/>
              </w:rPr>
              <w:t>IQ_80_89</w:t>
            </w:r>
          </w:p>
        </w:tc>
        <w:tc>
          <w:tcPr>
            <w:tcW w:w="1055" w:type="dxa"/>
            <w:tcBorders>
              <w:top w:val="nil"/>
              <w:left w:val="single" w:sz="4" w:space="0" w:color="auto"/>
              <w:bottom w:val="nil"/>
              <w:right w:val="single" w:sz="4" w:space="0" w:color="auto"/>
            </w:tcBorders>
            <w:shd w:val="clear" w:color="auto" w:fill="auto"/>
            <w:noWrap/>
            <w:vAlign w:val="bottom"/>
            <w:hideMark/>
          </w:tcPr>
          <w:p w14:paraId="6DEA52D4" w14:textId="77777777" w:rsidR="00D551B4" w:rsidRPr="00D551B4" w:rsidRDefault="00D551B4" w:rsidP="00BA3359">
            <w:pPr>
              <w:jc w:val="center"/>
              <w:rPr>
                <w:rFonts w:ascii="Calibri" w:hAnsi="Calibri"/>
              </w:rPr>
            </w:pPr>
            <w:r w:rsidRPr="00D551B4">
              <w:rPr>
                <w:rFonts w:ascii="Calibri" w:hAnsi="Calibri"/>
              </w:rPr>
              <w:t>-0.17</w:t>
            </w:r>
          </w:p>
        </w:tc>
        <w:tc>
          <w:tcPr>
            <w:tcW w:w="1805" w:type="dxa"/>
            <w:tcBorders>
              <w:top w:val="nil"/>
              <w:left w:val="single" w:sz="4" w:space="0" w:color="auto"/>
              <w:bottom w:val="nil"/>
              <w:right w:val="single" w:sz="4" w:space="0" w:color="auto"/>
            </w:tcBorders>
            <w:shd w:val="clear" w:color="auto" w:fill="auto"/>
            <w:noWrap/>
            <w:vAlign w:val="bottom"/>
            <w:hideMark/>
          </w:tcPr>
          <w:p w14:paraId="517873A5" w14:textId="77777777" w:rsidR="00D551B4" w:rsidRPr="00D551B4" w:rsidRDefault="00D551B4" w:rsidP="00BA3359">
            <w:pPr>
              <w:jc w:val="center"/>
              <w:rPr>
                <w:rFonts w:ascii="Calibri" w:hAnsi="Calibri"/>
              </w:rPr>
            </w:pPr>
            <w:r w:rsidRPr="00D551B4">
              <w:rPr>
                <w:rFonts w:ascii="Calibri" w:hAnsi="Calibri"/>
              </w:rPr>
              <w:t>-0.16</w:t>
            </w:r>
          </w:p>
        </w:tc>
        <w:tc>
          <w:tcPr>
            <w:tcW w:w="1980" w:type="dxa"/>
            <w:tcBorders>
              <w:top w:val="nil"/>
              <w:left w:val="single" w:sz="4" w:space="0" w:color="auto"/>
              <w:bottom w:val="nil"/>
              <w:right w:val="single" w:sz="4" w:space="0" w:color="auto"/>
            </w:tcBorders>
            <w:shd w:val="clear" w:color="auto" w:fill="auto"/>
            <w:noWrap/>
            <w:vAlign w:val="bottom"/>
            <w:hideMark/>
          </w:tcPr>
          <w:p w14:paraId="14F958AF" w14:textId="77777777" w:rsidR="00D551B4" w:rsidRPr="00D551B4" w:rsidRDefault="00D551B4" w:rsidP="00BA3359">
            <w:pPr>
              <w:jc w:val="center"/>
              <w:rPr>
                <w:rFonts w:ascii="Calibri" w:hAnsi="Calibri"/>
              </w:rPr>
            </w:pPr>
            <w:r w:rsidRPr="00D551B4">
              <w:rPr>
                <w:rFonts w:ascii="Calibri" w:hAnsi="Calibri"/>
              </w:rPr>
              <w:t>-0.24</w:t>
            </w:r>
          </w:p>
        </w:tc>
        <w:tc>
          <w:tcPr>
            <w:tcW w:w="853" w:type="dxa"/>
            <w:tcBorders>
              <w:top w:val="nil"/>
              <w:left w:val="single" w:sz="4" w:space="0" w:color="auto"/>
              <w:bottom w:val="nil"/>
              <w:right w:val="single" w:sz="4" w:space="0" w:color="auto"/>
            </w:tcBorders>
            <w:shd w:val="clear" w:color="auto" w:fill="auto"/>
            <w:noWrap/>
            <w:vAlign w:val="bottom"/>
            <w:hideMark/>
          </w:tcPr>
          <w:p w14:paraId="3CCBFFF3" w14:textId="77777777" w:rsidR="00D551B4" w:rsidRPr="00D551B4" w:rsidRDefault="00D551B4" w:rsidP="00BA3359">
            <w:pPr>
              <w:jc w:val="center"/>
              <w:rPr>
                <w:rFonts w:ascii="Calibri" w:hAnsi="Calibri"/>
              </w:rPr>
            </w:pPr>
            <w:r w:rsidRPr="00D551B4">
              <w:rPr>
                <w:rFonts w:ascii="Calibri" w:hAnsi="Calibri"/>
              </w:rPr>
              <w:t>0.00</w:t>
            </w:r>
          </w:p>
        </w:tc>
        <w:tc>
          <w:tcPr>
            <w:tcW w:w="1157" w:type="dxa"/>
            <w:tcBorders>
              <w:top w:val="nil"/>
              <w:left w:val="single" w:sz="4" w:space="0" w:color="auto"/>
              <w:bottom w:val="nil"/>
              <w:right w:val="single" w:sz="4" w:space="0" w:color="auto"/>
            </w:tcBorders>
            <w:shd w:val="clear" w:color="auto" w:fill="auto"/>
            <w:noWrap/>
            <w:vAlign w:val="bottom"/>
            <w:hideMark/>
          </w:tcPr>
          <w:p w14:paraId="7926E6F7" w14:textId="77777777" w:rsidR="00D551B4" w:rsidRPr="00D551B4" w:rsidRDefault="00D551B4" w:rsidP="00BA3359">
            <w:pPr>
              <w:jc w:val="center"/>
              <w:rPr>
                <w:rFonts w:ascii="Calibri" w:hAnsi="Calibri"/>
              </w:rPr>
            </w:pPr>
            <w:r w:rsidRPr="00D551B4">
              <w:rPr>
                <w:rFonts w:ascii="Calibri" w:hAnsi="Calibri"/>
              </w:rPr>
              <w:t>-0.09</w:t>
            </w:r>
          </w:p>
        </w:tc>
      </w:tr>
      <w:tr w:rsidR="00BA3359" w:rsidRPr="00D551B4" w14:paraId="4083F2E6"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56D655A5" w14:textId="77777777" w:rsidR="00D551B4" w:rsidRPr="00D551B4" w:rsidRDefault="00D551B4" w:rsidP="00D551B4">
            <w:pPr>
              <w:rPr>
                <w:rFonts w:ascii="Calibri" w:hAnsi="Calibri"/>
              </w:rPr>
            </w:pPr>
            <w:r w:rsidRPr="00D551B4">
              <w:rPr>
                <w:rFonts w:ascii="Calibri" w:hAnsi="Calibri"/>
              </w:rPr>
              <w:t>IQ_90_99</w:t>
            </w:r>
          </w:p>
        </w:tc>
        <w:tc>
          <w:tcPr>
            <w:tcW w:w="1055" w:type="dxa"/>
            <w:tcBorders>
              <w:top w:val="nil"/>
              <w:left w:val="single" w:sz="4" w:space="0" w:color="auto"/>
              <w:bottom w:val="nil"/>
              <w:right w:val="single" w:sz="4" w:space="0" w:color="auto"/>
            </w:tcBorders>
            <w:shd w:val="clear" w:color="auto" w:fill="auto"/>
            <w:noWrap/>
            <w:vAlign w:val="bottom"/>
            <w:hideMark/>
          </w:tcPr>
          <w:p w14:paraId="77A08EC7" w14:textId="77777777" w:rsidR="00D551B4" w:rsidRPr="00D551B4" w:rsidRDefault="00D551B4" w:rsidP="00BA3359">
            <w:pPr>
              <w:jc w:val="center"/>
              <w:rPr>
                <w:rFonts w:ascii="Calibri" w:hAnsi="Calibri"/>
              </w:rPr>
            </w:pPr>
            <w:r w:rsidRPr="00D551B4">
              <w:rPr>
                <w:rFonts w:ascii="Calibri" w:hAnsi="Calibri"/>
              </w:rPr>
              <w:t>-0.07</w:t>
            </w:r>
          </w:p>
        </w:tc>
        <w:tc>
          <w:tcPr>
            <w:tcW w:w="1805" w:type="dxa"/>
            <w:tcBorders>
              <w:top w:val="nil"/>
              <w:left w:val="single" w:sz="4" w:space="0" w:color="auto"/>
              <w:bottom w:val="nil"/>
              <w:right w:val="single" w:sz="4" w:space="0" w:color="auto"/>
            </w:tcBorders>
            <w:shd w:val="clear" w:color="auto" w:fill="auto"/>
            <w:noWrap/>
            <w:vAlign w:val="bottom"/>
            <w:hideMark/>
          </w:tcPr>
          <w:p w14:paraId="65926173" w14:textId="77777777" w:rsidR="00D551B4" w:rsidRPr="00D551B4" w:rsidRDefault="00D551B4" w:rsidP="00BA3359">
            <w:pPr>
              <w:jc w:val="center"/>
              <w:rPr>
                <w:rFonts w:ascii="Calibri" w:hAnsi="Calibri"/>
              </w:rPr>
            </w:pPr>
            <w:r w:rsidRPr="00D551B4">
              <w:rPr>
                <w:rFonts w:ascii="Calibri" w:hAnsi="Calibri"/>
              </w:rPr>
              <w:t>-0.09</w:t>
            </w:r>
          </w:p>
        </w:tc>
        <w:tc>
          <w:tcPr>
            <w:tcW w:w="1980" w:type="dxa"/>
            <w:tcBorders>
              <w:top w:val="nil"/>
              <w:left w:val="single" w:sz="4" w:space="0" w:color="auto"/>
              <w:bottom w:val="nil"/>
              <w:right w:val="single" w:sz="4" w:space="0" w:color="auto"/>
            </w:tcBorders>
            <w:shd w:val="clear" w:color="auto" w:fill="auto"/>
            <w:noWrap/>
            <w:vAlign w:val="bottom"/>
            <w:hideMark/>
          </w:tcPr>
          <w:p w14:paraId="3BB16E0A" w14:textId="77777777" w:rsidR="00D551B4" w:rsidRPr="00D551B4" w:rsidRDefault="00D551B4" w:rsidP="00BA3359">
            <w:pPr>
              <w:jc w:val="center"/>
              <w:rPr>
                <w:rFonts w:ascii="Calibri" w:hAnsi="Calibri"/>
              </w:rPr>
            </w:pPr>
            <w:r w:rsidRPr="00D551B4">
              <w:rPr>
                <w:rFonts w:ascii="Calibri" w:hAnsi="Calibri"/>
              </w:rPr>
              <w:t>-0.15</w:t>
            </w:r>
          </w:p>
        </w:tc>
        <w:tc>
          <w:tcPr>
            <w:tcW w:w="853" w:type="dxa"/>
            <w:tcBorders>
              <w:top w:val="nil"/>
              <w:left w:val="single" w:sz="4" w:space="0" w:color="auto"/>
              <w:bottom w:val="nil"/>
              <w:right w:val="single" w:sz="4" w:space="0" w:color="auto"/>
            </w:tcBorders>
            <w:shd w:val="clear" w:color="auto" w:fill="auto"/>
            <w:noWrap/>
            <w:vAlign w:val="bottom"/>
            <w:hideMark/>
          </w:tcPr>
          <w:p w14:paraId="20D759BD" w14:textId="77777777" w:rsidR="00D551B4" w:rsidRPr="00D551B4" w:rsidRDefault="00D551B4" w:rsidP="00BA3359">
            <w:pPr>
              <w:jc w:val="center"/>
              <w:rPr>
                <w:rFonts w:ascii="Calibri" w:hAnsi="Calibri"/>
              </w:rPr>
            </w:pPr>
            <w:r w:rsidRPr="00D551B4">
              <w:rPr>
                <w:rFonts w:ascii="Calibri" w:hAnsi="Calibri"/>
              </w:rPr>
              <w:t>0.00</w:t>
            </w:r>
          </w:p>
        </w:tc>
        <w:tc>
          <w:tcPr>
            <w:tcW w:w="1157" w:type="dxa"/>
            <w:tcBorders>
              <w:top w:val="nil"/>
              <w:left w:val="single" w:sz="4" w:space="0" w:color="auto"/>
              <w:bottom w:val="nil"/>
              <w:right w:val="single" w:sz="4" w:space="0" w:color="auto"/>
            </w:tcBorders>
            <w:shd w:val="clear" w:color="auto" w:fill="auto"/>
            <w:noWrap/>
            <w:vAlign w:val="bottom"/>
            <w:hideMark/>
          </w:tcPr>
          <w:p w14:paraId="009A74EA" w14:textId="77777777" w:rsidR="00D551B4" w:rsidRPr="00D551B4" w:rsidRDefault="00D551B4" w:rsidP="00BA3359">
            <w:pPr>
              <w:jc w:val="center"/>
              <w:rPr>
                <w:rFonts w:ascii="Calibri" w:hAnsi="Calibri"/>
              </w:rPr>
            </w:pPr>
            <w:r w:rsidRPr="00D551B4">
              <w:rPr>
                <w:rFonts w:ascii="Calibri" w:hAnsi="Calibri"/>
              </w:rPr>
              <w:t>-0.03</w:t>
            </w:r>
          </w:p>
        </w:tc>
      </w:tr>
      <w:tr w:rsidR="00BA3359" w:rsidRPr="00D551B4" w14:paraId="7A216492"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210A3CBF" w14:textId="77777777" w:rsidR="00D551B4" w:rsidRPr="00D551B4" w:rsidRDefault="00D551B4" w:rsidP="00D551B4">
            <w:pPr>
              <w:rPr>
                <w:rFonts w:ascii="Calibri" w:hAnsi="Calibri"/>
              </w:rPr>
            </w:pPr>
            <w:r w:rsidRPr="00D551B4">
              <w:rPr>
                <w:rFonts w:ascii="Calibri" w:hAnsi="Calibri"/>
              </w:rPr>
              <w:t>IQ_100_109</w:t>
            </w:r>
          </w:p>
        </w:tc>
        <w:tc>
          <w:tcPr>
            <w:tcW w:w="1055" w:type="dxa"/>
            <w:tcBorders>
              <w:top w:val="nil"/>
              <w:left w:val="single" w:sz="4" w:space="0" w:color="auto"/>
              <w:bottom w:val="nil"/>
              <w:right w:val="single" w:sz="4" w:space="0" w:color="auto"/>
            </w:tcBorders>
            <w:shd w:val="clear" w:color="auto" w:fill="auto"/>
            <w:noWrap/>
            <w:vAlign w:val="bottom"/>
            <w:hideMark/>
          </w:tcPr>
          <w:p w14:paraId="20C92C80" w14:textId="77777777" w:rsidR="00D551B4" w:rsidRPr="00D551B4" w:rsidRDefault="00D551B4" w:rsidP="00BA3359">
            <w:pPr>
              <w:jc w:val="center"/>
              <w:rPr>
                <w:rFonts w:ascii="Calibri" w:hAnsi="Calibri"/>
              </w:rPr>
            </w:pPr>
            <w:r w:rsidRPr="00D551B4">
              <w:rPr>
                <w:rFonts w:ascii="Calibri" w:hAnsi="Calibri"/>
              </w:rPr>
              <w:t>0.00</w:t>
            </w:r>
          </w:p>
        </w:tc>
        <w:tc>
          <w:tcPr>
            <w:tcW w:w="1805" w:type="dxa"/>
            <w:tcBorders>
              <w:top w:val="nil"/>
              <w:left w:val="single" w:sz="4" w:space="0" w:color="auto"/>
              <w:bottom w:val="nil"/>
              <w:right w:val="single" w:sz="4" w:space="0" w:color="auto"/>
            </w:tcBorders>
            <w:shd w:val="clear" w:color="auto" w:fill="auto"/>
            <w:noWrap/>
            <w:vAlign w:val="bottom"/>
            <w:hideMark/>
          </w:tcPr>
          <w:p w14:paraId="60BCFE6B" w14:textId="77777777" w:rsidR="00D551B4" w:rsidRPr="00D551B4" w:rsidRDefault="00D551B4" w:rsidP="00BA3359">
            <w:pPr>
              <w:jc w:val="center"/>
              <w:rPr>
                <w:rFonts w:ascii="Calibri" w:hAnsi="Calibri"/>
              </w:rPr>
            </w:pPr>
            <w:r w:rsidRPr="00D551B4">
              <w:rPr>
                <w:rFonts w:ascii="Calibri" w:hAnsi="Calibri"/>
              </w:rPr>
              <w:t>0.00</w:t>
            </w:r>
          </w:p>
        </w:tc>
        <w:tc>
          <w:tcPr>
            <w:tcW w:w="1980" w:type="dxa"/>
            <w:tcBorders>
              <w:top w:val="nil"/>
              <w:left w:val="single" w:sz="4" w:space="0" w:color="auto"/>
              <w:bottom w:val="nil"/>
              <w:right w:val="single" w:sz="4" w:space="0" w:color="auto"/>
            </w:tcBorders>
            <w:shd w:val="clear" w:color="auto" w:fill="auto"/>
            <w:noWrap/>
            <w:vAlign w:val="bottom"/>
            <w:hideMark/>
          </w:tcPr>
          <w:p w14:paraId="4D79397E" w14:textId="77777777" w:rsidR="00D551B4" w:rsidRPr="00D551B4" w:rsidRDefault="00D551B4" w:rsidP="00BA3359">
            <w:pPr>
              <w:jc w:val="center"/>
              <w:rPr>
                <w:rFonts w:ascii="Calibri" w:hAnsi="Calibri"/>
              </w:rPr>
            </w:pPr>
            <w:r w:rsidRPr="00D551B4">
              <w:rPr>
                <w:rFonts w:ascii="Calibri" w:hAnsi="Calibri"/>
              </w:rPr>
              <w:t>-0.02</w:t>
            </w:r>
          </w:p>
        </w:tc>
        <w:tc>
          <w:tcPr>
            <w:tcW w:w="853" w:type="dxa"/>
            <w:tcBorders>
              <w:top w:val="nil"/>
              <w:left w:val="single" w:sz="4" w:space="0" w:color="auto"/>
              <w:bottom w:val="nil"/>
              <w:right w:val="single" w:sz="4" w:space="0" w:color="auto"/>
            </w:tcBorders>
            <w:shd w:val="clear" w:color="auto" w:fill="auto"/>
            <w:noWrap/>
            <w:vAlign w:val="bottom"/>
            <w:hideMark/>
          </w:tcPr>
          <w:p w14:paraId="3E9F82D2" w14:textId="77777777" w:rsidR="00D551B4" w:rsidRPr="00D551B4" w:rsidRDefault="00D551B4" w:rsidP="00BA3359">
            <w:pPr>
              <w:jc w:val="center"/>
              <w:rPr>
                <w:rFonts w:ascii="Calibri" w:hAnsi="Calibri"/>
              </w:rPr>
            </w:pPr>
            <w:r w:rsidRPr="00D551B4">
              <w:rPr>
                <w:rFonts w:ascii="Calibri" w:hAnsi="Calibri"/>
              </w:rPr>
              <w:t>0.01</w:t>
            </w:r>
          </w:p>
        </w:tc>
        <w:tc>
          <w:tcPr>
            <w:tcW w:w="1157" w:type="dxa"/>
            <w:tcBorders>
              <w:top w:val="nil"/>
              <w:left w:val="single" w:sz="4" w:space="0" w:color="auto"/>
              <w:bottom w:val="nil"/>
              <w:right w:val="single" w:sz="4" w:space="0" w:color="auto"/>
            </w:tcBorders>
            <w:shd w:val="clear" w:color="auto" w:fill="auto"/>
            <w:noWrap/>
            <w:vAlign w:val="bottom"/>
            <w:hideMark/>
          </w:tcPr>
          <w:p w14:paraId="086A8949" w14:textId="77777777" w:rsidR="00D551B4" w:rsidRPr="00D551B4" w:rsidRDefault="00D551B4" w:rsidP="00BA3359">
            <w:pPr>
              <w:jc w:val="center"/>
              <w:rPr>
                <w:rFonts w:ascii="Calibri" w:hAnsi="Calibri"/>
              </w:rPr>
            </w:pPr>
            <w:r w:rsidRPr="00D551B4">
              <w:rPr>
                <w:rFonts w:ascii="Calibri" w:hAnsi="Calibri"/>
              </w:rPr>
              <w:t>0.05</w:t>
            </w:r>
          </w:p>
        </w:tc>
      </w:tr>
      <w:tr w:rsidR="00BA3359" w:rsidRPr="00D551B4" w14:paraId="06FEBB24"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6E1C37F0" w14:textId="77777777" w:rsidR="00D551B4" w:rsidRPr="00D551B4" w:rsidRDefault="00D551B4" w:rsidP="00D551B4">
            <w:pPr>
              <w:rPr>
                <w:rFonts w:ascii="Calibri" w:hAnsi="Calibri"/>
              </w:rPr>
            </w:pPr>
            <w:r w:rsidRPr="00D551B4">
              <w:rPr>
                <w:rFonts w:ascii="Calibri" w:hAnsi="Calibri"/>
              </w:rPr>
              <w:t>IQ_110_119</w:t>
            </w:r>
          </w:p>
        </w:tc>
        <w:tc>
          <w:tcPr>
            <w:tcW w:w="1055" w:type="dxa"/>
            <w:tcBorders>
              <w:top w:val="nil"/>
              <w:left w:val="single" w:sz="4" w:space="0" w:color="auto"/>
              <w:bottom w:val="nil"/>
              <w:right w:val="single" w:sz="4" w:space="0" w:color="auto"/>
            </w:tcBorders>
            <w:shd w:val="clear" w:color="auto" w:fill="auto"/>
            <w:noWrap/>
            <w:vAlign w:val="bottom"/>
            <w:hideMark/>
          </w:tcPr>
          <w:p w14:paraId="4B9AD89D" w14:textId="77777777" w:rsidR="00D551B4" w:rsidRPr="00D551B4" w:rsidRDefault="00D551B4" w:rsidP="00BA3359">
            <w:pPr>
              <w:jc w:val="center"/>
              <w:rPr>
                <w:rFonts w:ascii="Calibri" w:hAnsi="Calibri"/>
              </w:rPr>
            </w:pPr>
            <w:r w:rsidRPr="00D551B4">
              <w:rPr>
                <w:rFonts w:ascii="Calibri" w:hAnsi="Calibri"/>
              </w:rPr>
              <w:t>0.15</w:t>
            </w:r>
          </w:p>
        </w:tc>
        <w:tc>
          <w:tcPr>
            <w:tcW w:w="1805" w:type="dxa"/>
            <w:tcBorders>
              <w:top w:val="nil"/>
              <w:left w:val="single" w:sz="4" w:space="0" w:color="auto"/>
              <w:bottom w:val="nil"/>
              <w:right w:val="single" w:sz="4" w:space="0" w:color="auto"/>
            </w:tcBorders>
            <w:shd w:val="clear" w:color="auto" w:fill="auto"/>
            <w:noWrap/>
            <w:vAlign w:val="bottom"/>
            <w:hideMark/>
          </w:tcPr>
          <w:p w14:paraId="0E74E491" w14:textId="77777777" w:rsidR="00D551B4" w:rsidRPr="00D551B4" w:rsidRDefault="00D551B4" w:rsidP="00BA3359">
            <w:pPr>
              <w:jc w:val="center"/>
              <w:rPr>
                <w:rFonts w:ascii="Calibri" w:hAnsi="Calibri"/>
              </w:rPr>
            </w:pPr>
            <w:r w:rsidRPr="00D551B4">
              <w:rPr>
                <w:rFonts w:ascii="Calibri" w:hAnsi="Calibri"/>
              </w:rPr>
              <w:t>0.14</w:t>
            </w:r>
          </w:p>
        </w:tc>
        <w:tc>
          <w:tcPr>
            <w:tcW w:w="1980" w:type="dxa"/>
            <w:tcBorders>
              <w:top w:val="nil"/>
              <w:left w:val="single" w:sz="4" w:space="0" w:color="auto"/>
              <w:bottom w:val="nil"/>
              <w:right w:val="single" w:sz="4" w:space="0" w:color="auto"/>
            </w:tcBorders>
            <w:shd w:val="clear" w:color="auto" w:fill="auto"/>
            <w:noWrap/>
            <w:vAlign w:val="bottom"/>
            <w:hideMark/>
          </w:tcPr>
          <w:p w14:paraId="357146DF" w14:textId="77777777" w:rsidR="00D551B4" w:rsidRPr="00D551B4" w:rsidRDefault="00D551B4" w:rsidP="00BA3359">
            <w:pPr>
              <w:jc w:val="center"/>
              <w:rPr>
                <w:rFonts w:ascii="Calibri" w:hAnsi="Calibri"/>
              </w:rPr>
            </w:pPr>
            <w:r w:rsidRPr="00D551B4">
              <w:rPr>
                <w:rFonts w:ascii="Calibri" w:hAnsi="Calibri"/>
              </w:rPr>
              <w:t>0.20</w:t>
            </w:r>
          </w:p>
        </w:tc>
        <w:tc>
          <w:tcPr>
            <w:tcW w:w="853" w:type="dxa"/>
            <w:tcBorders>
              <w:top w:val="nil"/>
              <w:left w:val="single" w:sz="4" w:space="0" w:color="auto"/>
              <w:bottom w:val="nil"/>
              <w:right w:val="single" w:sz="4" w:space="0" w:color="auto"/>
            </w:tcBorders>
            <w:shd w:val="clear" w:color="auto" w:fill="auto"/>
            <w:noWrap/>
            <w:vAlign w:val="bottom"/>
            <w:hideMark/>
          </w:tcPr>
          <w:p w14:paraId="55B8BBB1" w14:textId="77777777" w:rsidR="00D551B4" w:rsidRPr="00D551B4" w:rsidRDefault="00D551B4" w:rsidP="00BA3359">
            <w:pPr>
              <w:jc w:val="center"/>
              <w:rPr>
                <w:rFonts w:ascii="Calibri" w:hAnsi="Calibri"/>
              </w:rPr>
            </w:pPr>
            <w:r w:rsidRPr="00D551B4">
              <w:rPr>
                <w:rFonts w:ascii="Calibri" w:hAnsi="Calibri"/>
              </w:rPr>
              <w:t>0.00</w:t>
            </w:r>
          </w:p>
        </w:tc>
        <w:tc>
          <w:tcPr>
            <w:tcW w:w="1157" w:type="dxa"/>
            <w:tcBorders>
              <w:top w:val="nil"/>
              <w:left w:val="single" w:sz="4" w:space="0" w:color="auto"/>
              <w:bottom w:val="nil"/>
              <w:right w:val="single" w:sz="4" w:space="0" w:color="auto"/>
            </w:tcBorders>
            <w:shd w:val="clear" w:color="auto" w:fill="auto"/>
            <w:noWrap/>
            <w:vAlign w:val="bottom"/>
            <w:hideMark/>
          </w:tcPr>
          <w:p w14:paraId="2B05579C" w14:textId="77777777" w:rsidR="00D551B4" w:rsidRPr="00D551B4" w:rsidRDefault="00D551B4" w:rsidP="00BA3359">
            <w:pPr>
              <w:jc w:val="center"/>
              <w:rPr>
                <w:rFonts w:ascii="Calibri" w:hAnsi="Calibri"/>
              </w:rPr>
            </w:pPr>
            <w:r w:rsidRPr="00D551B4">
              <w:rPr>
                <w:rFonts w:ascii="Calibri" w:hAnsi="Calibri"/>
              </w:rPr>
              <w:t>0.09</w:t>
            </w:r>
          </w:p>
        </w:tc>
      </w:tr>
      <w:tr w:rsidR="00BA3359" w:rsidRPr="00D551B4" w14:paraId="1E511076"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755E01C8" w14:textId="77777777" w:rsidR="00D551B4" w:rsidRPr="00D551B4" w:rsidRDefault="00D551B4" w:rsidP="00D551B4">
            <w:pPr>
              <w:rPr>
                <w:rFonts w:ascii="Calibri" w:hAnsi="Calibri"/>
              </w:rPr>
            </w:pPr>
            <w:r w:rsidRPr="00D551B4">
              <w:rPr>
                <w:rFonts w:ascii="Calibri" w:hAnsi="Calibri"/>
              </w:rPr>
              <w:t>IQ_Greater_120</w:t>
            </w:r>
          </w:p>
        </w:tc>
        <w:tc>
          <w:tcPr>
            <w:tcW w:w="1055" w:type="dxa"/>
            <w:tcBorders>
              <w:top w:val="nil"/>
              <w:left w:val="single" w:sz="4" w:space="0" w:color="auto"/>
              <w:bottom w:val="nil"/>
              <w:right w:val="single" w:sz="4" w:space="0" w:color="auto"/>
            </w:tcBorders>
            <w:shd w:val="clear" w:color="auto" w:fill="auto"/>
            <w:noWrap/>
            <w:vAlign w:val="bottom"/>
            <w:hideMark/>
          </w:tcPr>
          <w:p w14:paraId="32774E38" w14:textId="77777777" w:rsidR="00D551B4" w:rsidRPr="00D551B4" w:rsidRDefault="00D551B4" w:rsidP="00BA3359">
            <w:pPr>
              <w:jc w:val="center"/>
              <w:rPr>
                <w:rFonts w:ascii="Calibri" w:hAnsi="Calibri"/>
              </w:rPr>
            </w:pPr>
            <w:r w:rsidRPr="00D551B4">
              <w:rPr>
                <w:rFonts w:ascii="Calibri" w:hAnsi="Calibri"/>
              </w:rPr>
              <w:t>0.27</w:t>
            </w:r>
          </w:p>
        </w:tc>
        <w:tc>
          <w:tcPr>
            <w:tcW w:w="1805" w:type="dxa"/>
            <w:tcBorders>
              <w:top w:val="nil"/>
              <w:left w:val="single" w:sz="4" w:space="0" w:color="auto"/>
              <w:bottom w:val="nil"/>
              <w:right w:val="single" w:sz="4" w:space="0" w:color="auto"/>
            </w:tcBorders>
            <w:shd w:val="clear" w:color="auto" w:fill="auto"/>
            <w:noWrap/>
            <w:vAlign w:val="bottom"/>
            <w:hideMark/>
          </w:tcPr>
          <w:p w14:paraId="260077DD" w14:textId="77777777" w:rsidR="00D551B4" w:rsidRPr="00D551B4" w:rsidRDefault="00D551B4" w:rsidP="00BA3359">
            <w:pPr>
              <w:jc w:val="center"/>
              <w:rPr>
                <w:rFonts w:ascii="Calibri" w:hAnsi="Calibri"/>
              </w:rPr>
            </w:pPr>
            <w:r w:rsidRPr="00D551B4">
              <w:rPr>
                <w:rFonts w:ascii="Calibri" w:hAnsi="Calibri"/>
              </w:rPr>
              <w:t>0.25</w:t>
            </w:r>
          </w:p>
        </w:tc>
        <w:tc>
          <w:tcPr>
            <w:tcW w:w="1980" w:type="dxa"/>
            <w:tcBorders>
              <w:top w:val="nil"/>
              <w:left w:val="single" w:sz="4" w:space="0" w:color="auto"/>
              <w:bottom w:val="nil"/>
              <w:right w:val="single" w:sz="4" w:space="0" w:color="auto"/>
            </w:tcBorders>
            <w:shd w:val="clear" w:color="auto" w:fill="auto"/>
            <w:noWrap/>
            <w:vAlign w:val="bottom"/>
            <w:hideMark/>
          </w:tcPr>
          <w:p w14:paraId="7B0311A1" w14:textId="77777777" w:rsidR="00D551B4" w:rsidRPr="00D551B4" w:rsidRDefault="00D551B4" w:rsidP="00BA3359">
            <w:pPr>
              <w:jc w:val="center"/>
              <w:rPr>
                <w:rFonts w:ascii="Calibri" w:hAnsi="Calibri"/>
              </w:rPr>
            </w:pPr>
            <w:r w:rsidRPr="00D551B4">
              <w:rPr>
                <w:rFonts w:ascii="Calibri" w:hAnsi="Calibri"/>
              </w:rPr>
              <w:t>0.43</w:t>
            </w:r>
          </w:p>
        </w:tc>
        <w:tc>
          <w:tcPr>
            <w:tcW w:w="853" w:type="dxa"/>
            <w:tcBorders>
              <w:top w:val="nil"/>
              <w:left w:val="single" w:sz="4" w:space="0" w:color="auto"/>
              <w:bottom w:val="nil"/>
              <w:right w:val="single" w:sz="4" w:space="0" w:color="auto"/>
            </w:tcBorders>
            <w:shd w:val="clear" w:color="auto" w:fill="auto"/>
            <w:noWrap/>
            <w:vAlign w:val="bottom"/>
            <w:hideMark/>
          </w:tcPr>
          <w:p w14:paraId="3FC83E1B" w14:textId="77777777" w:rsidR="00D551B4" w:rsidRPr="00D551B4" w:rsidRDefault="00D551B4" w:rsidP="00BA3359">
            <w:pPr>
              <w:jc w:val="center"/>
              <w:rPr>
                <w:rFonts w:ascii="Calibri" w:hAnsi="Calibri"/>
              </w:rPr>
            </w:pPr>
            <w:r w:rsidRPr="00D551B4">
              <w:rPr>
                <w:rFonts w:ascii="Calibri" w:hAnsi="Calibri"/>
              </w:rPr>
              <w:t>-0.01</w:t>
            </w:r>
          </w:p>
        </w:tc>
        <w:tc>
          <w:tcPr>
            <w:tcW w:w="1157" w:type="dxa"/>
            <w:tcBorders>
              <w:top w:val="nil"/>
              <w:left w:val="single" w:sz="4" w:space="0" w:color="auto"/>
              <w:bottom w:val="nil"/>
              <w:right w:val="single" w:sz="4" w:space="0" w:color="auto"/>
            </w:tcBorders>
            <w:shd w:val="clear" w:color="auto" w:fill="auto"/>
            <w:noWrap/>
            <w:vAlign w:val="bottom"/>
            <w:hideMark/>
          </w:tcPr>
          <w:p w14:paraId="00036BF4" w14:textId="77777777" w:rsidR="00D551B4" w:rsidRPr="00D551B4" w:rsidRDefault="00D551B4" w:rsidP="00BA3359">
            <w:pPr>
              <w:jc w:val="center"/>
              <w:rPr>
                <w:rFonts w:ascii="Calibri" w:hAnsi="Calibri"/>
              </w:rPr>
            </w:pPr>
            <w:r w:rsidRPr="00D551B4">
              <w:rPr>
                <w:rFonts w:ascii="Calibri" w:hAnsi="Calibri"/>
              </w:rPr>
              <w:t>0.07</w:t>
            </w:r>
          </w:p>
        </w:tc>
      </w:tr>
      <w:tr w:rsidR="00BA3359" w:rsidRPr="00D551B4" w14:paraId="0E4BF617"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26F147C7" w14:textId="77777777" w:rsidR="00D551B4" w:rsidRPr="00D551B4" w:rsidRDefault="00D551B4" w:rsidP="00D551B4">
            <w:pPr>
              <w:rPr>
                <w:rFonts w:ascii="Calibri" w:hAnsi="Calibri"/>
              </w:rPr>
            </w:pPr>
            <w:r w:rsidRPr="00D551B4">
              <w:rPr>
                <w:rFonts w:ascii="Calibri" w:hAnsi="Calibri"/>
              </w:rPr>
              <w:t>North Central</w:t>
            </w:r>
          </w:p>
        </w:tc>
        <w:tc>
          <w:tcPr>
            <w:tcW w:w="1055" w:type="dxa"/>
            <w:tcBorders>
              <w:top w:val="nil"/>
              <w:left w:val="single" w:sz="4" w:space="0" w:color="auto"/>
              <w:bottom w:val="nil"/>
              <w:right w:val="single" w:sz="4" w:space="0" w:color="auto"/>
            </w:tcBorders>
            <w:shd w:val="clear" w:color="auto" w:fill="auto"/>
            <w:noWrap/>
            <w:vAlign w:val="bottom"/>
            <w:hideMark/>
          </w:tcPr>
          <w:p w14:paraId="115B547B" w14:textId="77777777" w:rsidR="00D551B4" w:rsidRPr="00D551B4" w:rsidRDefault="00D551B4" w:rsidP="00BA3359">
            <w:pPr>
              <w:jc w:val="center"/>
              <w:rPr>
                <w:rFonts w:ascii="Calibri" w:hAnsi="Calibri"/>
              </w:rPr>
            </w:pPr>
            <w:r w:rsidRPr="00D551B4">
              <w:rPr>
                <w:rFonts w:ascii="Calibri" w:hAnsi="Calibri"/>
              </w:rPr>
              <w:t>-0.03</w:t>
            </w:r>
          </w:p>
        </w:tc>
        <w:tc>
          <w:tcPr>
            <w:tcW w:w="1805" w:type="dxa"/>
            <w:tcBorders>
              <w:top w:val="nil"/>
              <w:left w:val="single" w:sz="4" w:space="0" w:color="auto"/>
              <w:bottom w:val="nil"/>
              <w:right w:val="single" w:sz="4" w:space="0" w:color="auto"/>
            </w:tcBorders>
            <w:shd w:val="clear" w:color="auto" w:fill="auto"/>
            <w:noWrap/>
            <w:vAlign w:val="bottom"/>
            <w:hideMark/>
          </w:tcPr>
          <w:p w14:paraId="77C4B0D5" w14:textId="77777777" w:rsidR="00D551B4" w:rsidRPr="00D551B4" w:rsidRDefault="00D551B4" w:rsidP="00BA3359">
            <w:pPr>
              <w:jc w:val="center"/>
              <w:rPr>
                <w:rFonts w:ascii="Calibri" w:hAnsi="Calibri"/>
              </w:rPr>
            </w:pPr>
            <w:r w:rsidRPr="00D551B4">
              <w:rPr>
                <w:rFonts w:ascii="Calibri" w:hAnsi="Calibri"/>
              </w:rPr>
              <w:t>-0.03</w:t>
            </w:r>
          </w:p>
        </w:tc>
        <w:tc>
          <w:tcPr>
            <w:tcW w:w="1980" w:type="dxa"/>
            <w:tcBorders>
              <w:top w:val="nil"/>
              <w:left w:val="single" w:sz="4" w:space="0" w:color="auto"/>
              <w:bottom w:val="nil"/>
              <w:right w:val="single" w:sz="4" w:space="0" w:color="auto"/>
            </w:tcBorders>
            <w:shd w:val="clear" w:color="auto" w:fill="auto"/>
            <w:noWrap/>
            <w:vAlign w:val="bottom"/>
            <w:hideMark/>
          </w:tcPr>
          <w:p w14:paraId="4FC0E223" w14:textId="77777777" w:rsidR="00D551B4" w:rsidRPr="00D551B4" w:rsidRDefault="00D551B4" w:rsidP="00BA3359">
            <w:pPr>
              <w:jc w:val="center"/>
              <w:rPr>
                <w:rFonts w:ascii="Calibri" w:hAnsi="Calibri"/>
              </w:rPr>
            </w:pPr>
            <w:r w:rsidRPr="00D551B4">
              <w:rPr>
                <w:rFonts w:ascii="Calibri" w:hAnsi="Calibri"/>
              </w:rPr>
              <w:t>-0.01</w:t>
            </w:r>
          </w:p>
        </w:tc>
        <w:tc>
          <w:tcPr>
            <w:tcW w:w="853" w:type="dxa"/>
            <w:tcBorders>
              <w:top w:val="nil"/>
              <w:left w:val="single" w:sz="4" w:space="0" w:color="auto"/>
              <w:bottom w:val="nil"/>
              <w:right w:val="single" w:sz="4" w:space="0" w:color="auto"/>
            </w:tcBorders>
            <w:shd w:val="clear" w:color="auto" w:fill="auto"/>
            <w:noWrap/>
            <w:vAlign w:val="bottom"/>
            <w:hideMark/>
          </w:tcPr>
          <w:p w14:paraId="35B03999" w14:textId="77777777" w:rsidR="00D551B4" w:rsidRPr="00D551B4" w:rsidRDefault="00D551B4" w:rsidP="00BA3359">
            <w:pPr>
              <w:jc w:val="center"/>
              <w:rPr>
                <w:rFonts w:ascii="Calibri" w:hAnsi="Calibri"/>
              </w:rPr>
            </w:pPr>
            <w:r w:rsidRPr="00D551B4">
              <w:rPr>
                <w:rFonts w:ascii="Calibri" w:hAnsi="Calibri"/>
              </w:rPr>
              <w:t>-0.01</w:t>
            </w:r>
          </w:p>
        </w:tc>
        <w:tc>
          <w:tcPr>
            <w:tcW w:w="1157" w:type="dxa"/>
            <w:tcBorders>
              <w:top w:val="nil"/>
              <w:left w:val="single" w:sz="4" w:space="0" w:color="auto"/>
              <w:bottom w:val="nil"/>
              <w:right w:val="single" w:sz="4" w:space="0" w:color="auto"/>
            </w:tcBorders>
            <w:shd w:val="clear" w:color="auto" w:fill="auto"/>
            <w:noWrap/>
            <w:vAlign w:val="bottom"/>
            <w:hideMark/>
          </w:tcPr>
          <w:p w14:paraId="449E771A" w14:textId="77777777" w:rsidR="00D551B4" w:rsidRPr="00D551B4" w:rsidRDefault="00D551B4" w:rsidP="00BA3359">
            <w:pPr>
              <w:jc w:val="center"/>
              <w:rPr>
                <w:rFonts w:ascii="Calibri" w:hAnsi="Calibri"/>
              </w:rPr>
            </w:pPr>
            <w:r w:rsidRPr="00D551B4">
              <w:rPr>
                <w:rFonts w:ascii="Calibri" w:hAnsi="Calibri"/>
              </w:rPr>
              <w:t>0.04</w:t>
            </w:r>
          </w:p>
        </w:tc>
      </w:tr>
      <w:tr w:rsidR="00BA3359" w:rsidRPr="00D551B4" w14:paraId="50C0D297" w14:textId="77777777" w:rsidTr="0006269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14:paraId="132C9B70" w14:textId="77777777" w:rsidR="00D551B4" w:rsidRPr="00D551B4" w:rsidRDefault="00D551B4" w:rsidP="00D551B4">
            <w:pPr>
              <w:rPr>
                <w:rFonts w:ascii="Calibri" w:hAnsi="Calibri"/>
              </w:rPr>
            </w:pPr>
            <w:r w:rsidRPr="00D551B4">
              <w:rPr>
                <w:rFonts w:ascii="Calibri" w:hAnsi="Calibri"/>
              </w:rPr>
              <w:t>South</w:t>
            </w:r>
          </w:p>
        </w:tc>
        <w:tc>
          <w:tcPr>
            <w:tcW w:w="1055" w:type="dxa"/>
            <w:tcBorders>
              <w:top w:val="nil"/>
              <w:left w:val="single" w:sz="4" w:space="0" w:color="auto"/>
              <w:bottom w:val="nil"/>
              <w:right w:val="single" w:sz="4" w:space="0" w:color="auto"/>
            </w:tcBorders>
            <w:shd w:val="clear" w:color="auto" w:fill="auto"/>
            <w:noWrap/>
            <w:vAlign w:val="bottom"/>
            <w:hideMark/>
          </w:tcPr>
          <w:p w14:paraId="3153CB50" w14:textId="77777777" w:rsidR="00D551B4" w:rsidRPr="00D551B4" w:rsidRDefault="00D551B4" w:rsidP="00BA3359">
            <w:pPr>
              <w:jc w:val="center"/>
              <w:rPr>
                <w:rFonts w:ascii="Calibri" w:hAnsi="Calibri"/>
              </w:rPr>
            </w:pPr>
            <w:r w:rsidRPr="00D551B4">
              <w:rPr>
                <w:rFonts w:ascii="Calibri" w:hAnsi="Calibri"/>
              </w:rPr>
              <w:t>-0.03</w:t>
            </w:r>
          </w:p>
        </w:tc>
        <w:tc>
          <w:tcPr>
            <w:tcW w:w="1805" w:type="dxa"/>
            <w:tcBorders>
              <w:top w:val="nil"/>
              <w:left w:val="single" w:sz="4" w:space="0" w:color="auto"/>
              <w:bottom w:val="nil"/>
              <w:right w:val="single" w:sz="4" w:space="0" w:color="auto"/>
            </w:tcBorders>
            <w:shd w:val="clear" w:color="auto" w:fill="auto"/>
            <w:noWrap/>
            <w:vAlign w:val="bottom"/>
            <w:hideMark/>
          </w:tcPr>
          <w:p w14:paraId="76AB9BAB" w14:textId="77777777" w:rsidR="00D551B4" w:rsidRPr="00D551B4" w:rsidRDefault="00D551B4" w:rsidP="00BA3359">
            <w:pPr>
              <w:jc w:val="center"/>
              <w:rPr>
                <w:rFonts w:ascii="Calibri" w:hAnsi="Calibri"/>
              </w:rPr>
            </w:pPr>
            <w:r w:rsidRPr="00D551B4">
              <w:rPr>
                <w:rFonts w:ascii="Calibri" w:hAnsi="Calibri"/>
              </w:rPr>
              <w:t>-0.05</w:t>
            </w:r>
          </w:p>
        </w:tc>
        <w:tc>
          <w:tcPr>
            <w:tcW w:w="1980" w:type="dxa"/>
            <w:tcBorders>
              <w:top w:val="nil"/>
              <w:left w:val="single" w:sz="4" w:space="0" w:color="auto"/>
              <w:bottom w:val="nil"/>
              <w:right w:val="single" w:sz="4" w:space="0" w:color="auto"/>
            </w:tcBorders>
            <w:shd w:val="clear" w:color="auto" w:fill="auto"/>
            <w:noWrap/>
            <w:vAlign w:val="bottom"/>
            <w:hideMark/>
          </w:tcPr>
          <w:p w14:paraId="307FE6A2" w14:textId="77777777" w:rsidR="00D551B4" w:rsidRPr="00D551B4" w:rsidRDefault="00D551B4" w:rsidP="00BA3359">
            <w:pPr>
              <w:jc w:val="center"/>
              <w:rPr>
                <w:rFonts w:ascii="Calibri" w:hAnsi="Calibri"/>
              </w:rPr>
            </w:pPr>
            <w:r w:rsidRPr="00D551B4">
              <w:rPr>
                <w:rFonts w:ascii="Calibri" w:hAnsi="Calibri"/>
              </w:rPr>
              <w:t>-0.04</w:t>
            </w:r>
          </w:p>
        </w:tc>
        <w:tc>
          <w:tcPr>
            <w:tcW w:w="853" w:type="dxa"/>
            <w:tcBorders>
              <w:top w:val="nil"/>
              <w:left w:val="single" w:sz="4" w:space="0" w:color="auto"/>
              <w:bottom w:val="nil"/>
              <w:right w:val="single" w:sz="4" w:space="0" w:color="auto"/>
            </w:tcBorders>
            <w:shd w:val="clear" w:color="auto" w:fill="auto"/>
            <w:noWrap/>
            <w:vAlign w:val="bottom"/>
            <w:hideMark/>
          </w:tcPr>
          <w:p w14:paraId="35BFA3E7" w14:textId="77777777" w:rsidR="00D551B4" w:rsidRPr="00D551B4" w:rsidRDefault="00D551B4" w:rsidP="00BA3359">
            <w:pPr>
              <w:jc w:val="center"/>
              <w:rPr>
                <w:rFonts w:ascii="Calibri" w:hAnsi="Calibri"/>
              </w:rPr>
            </w:pPr>
            <w:r w:rsidRPr="00D551B4">
              <w:rPr>
                <w:rFonts w:ascii="Calibri" w:hAnsi="Calibri"/>
              </w:rPr>
              <w:t>-0.01</w:t>
            </w:r>
          </w:p>
        </w:tc>
        <w:tc>
          <w:tcPr>
            <w:tcW w:w="1157" w:type="dxa"/>
            <w:tcBorders>
              <w:top w:val="nil"/>
              <w:left w:val="single" w:sz="4" w:space="0" w:color="auto"/>
              <w:bottom w:val="nil"/>
              <w:right w:val="single" w:sz="4" w:space="0" w:color="auto"/>
            </w:tcBorders>
            <w:shd w:val="clear" w:color="auto" w:fill="auto"/>
            <w:noWrap/>
            <w:vAlign w:val="bottom"/>
            <w:hideMark/>
          </w:tcPr>
          <w:p w14:paraId="13FFA099" w14:textId="77777777" w:rsidR="00D551B4" w:rsidRPr="00D551B4" w:rsidRDefault="00D551B4" w:rsidP="00BA3359">
            <w:pPr>
              <w:jc w:val="center"/>
              <w:rPr>
                <w:rFonts w:ascii="Calibri" w:hAnsi="Calibri"/>
              </w:rPr>
            </w:pPr>
            <w:r w:rsidRPr="00D551B4">
              <w:rPr>
                <w:rFonts w:ascii="Calibri" w:hAnsi="Calibri"/>
              </w:rPr>
              <w:t>0.00</w:t>
            </w:r>
          </w:p>
        </w:tc>
      </w:tr>
      <w:tr w:rsidR="00BA3359" w:rsidRPr="00D551B4" w14:paraId="0027B4A6" w14:textId="77777777" w:rsidTr="00E24C89">
        <w:trPr>
          <w:trHeight w:val="207"/>
        </w:trPr>
        <w:tc>
          <w:tcPr>
            <w:tcW w:w="2720" w:type="dxa"/>
            <w:tcBorders>
              <w:top w:val="nil"/>
              <w:left w:val="single" w:sz="4" w:space="0" w:color="auto"/>
              <w:bottom w:val="nil"/>
              <w:right w:val="single" w:sz="4" w:space="0" w:color="auto"/>
            </w:tcBorders>
            <w:shd w:val="clear" w:color="auto" w:fill="auto"/>
            <w:noWrap/>
            <w:vAlign w:val="bottom"/>
            <w:hideMark/>
          </w:tcPr>
          <w:p w14:paraId="105BCFDD" w14:textId="77777777" w:rsidR="00D551B4" w:rsidRPr="00D551B4" w:rsidRDefault="00D551B4" w:rsidP="00D551B4">
            <w:pPr>
              <w:rPr>
                <w:rFonts w:ascii="Calibri" w:hAnsi="Calibri"/>
              </w:rPr>
            </w:pPr>
            <w:r w:rsidRPr="00D551B4">
              <w:rPr>
                <w:rFonts w:ascii="Calibri" w:hAnsi="Calibri"/>
              </w:rPr>
              <w:t>West</w:t>
            </w:r>
          </w:p>
        </w:tc>
        <w:tc>
          <w:tcPr>
            <w:tcW w:w="1055" w:type="dxa"/>
            <w:tcBorders>
              <w:top w:val="nil"/>
              <w:left w:val="single" w:sz="4" w:space="0" w:color="auto"/>
              <w:bottom w:val="nil"/>
              <w:right w:val="single" w:sz="4" w:space="0" w:color="auto"/>
            </w:tcBorders>
            <w:shd w:val="clear" w:color="auto" w:fill="auto"/>
            <w:noWrap/>
            <w:vAlign w:val="bottom"/>
            <w:hideMark/>
          </w:tcPr>
          <w:p w14:paraId="2D41FF11" w14:textId="77777777" w:rsidR="00D551B4" w:rsidRPr="00D551B4" w:rsidRDefault="00D551B4" w:rsidP="00BA3359">
            <w:pPr>
              <w:jc w:val="center"/>
              <w:rPr>
                <w:rFonts w:ascii="Calibri" w:hAnsi="Calibri"/>
              </w:rPr>
            </w:pPr>
            <w:r w:rsidRPr="00D551B4">
              <w:rPr>
                <w:rFonts w:ascii="Calibri" w:hAnsi="Calibri"/>
              </w:rPr>
              <w:t>0.00</w:t>
            </w:r>
          </w:p>
        </w:tc>
        <w:tc>
          <w:tcPr>
            <w:tcW w:w="1805" w:type="dxa"/>
            <w:tcBorders>
              <w:top w:val="nil"/>
              <w:left w:val="single" w:sz="4" w:space="0" w:color="auto"/>
              <w:bottom w:val="nil"/>
              <w:right w:val="single" w:sz="4" w:space="0" w:color="auto"/>
            </w:tcBorders>
            <w:shd w:val="clear" w:color="auto" w:fill="auto"/>
            <w:noWrap/>
            <w:vAlign w:val="bottom"/>
            <w:hideMark/>
          </w:tcPr>
          <w:p w14:paraId="57E30857" w14:textId="77777777" w:rsidR="00D551B4" w:rsidRPr="00D551B4" w:rsidRDefault="00D551B4" w:rsidP="00BA3359">
            <w:pPr>
              <w:jc w:val="center"/>
              <w:rPr>
                <w:rFonts w:ascii="Calibri" w:hAnsi="Calibri"/>
              </w:rPr>
            </w:pPr>
            <w:r w:rsidRPr="00D551B4">
              <w:rPr>
                <w:rFonts w:ascii="Calibri" w:hAnsi="Calibri"/>
              </w:rPr>
              <w:t>0.08</w:t>
            </w:r>
          </w:p>
        </w:tc>
        <w:tc>
          <w:tcPr>
            <w:tcW w:w="1980" w:type="dxa"/>
            <w:tcBorders>
              <w:top w:val="nil"/>
              <w:left w:val="single" w:sz="4" w:space="0" w:color="auto"/>
              <w:bottom w:val="nil"/>
              <w:right w:val="single" w:sz="4" w:space="0" w:color="auto"/>
            </w:tcBorders>
            <w:shd w:val="clear" w:color="auto" w:fill="auto"/>
            <w:noWrap/>
            <w:vAlign w:val="bottom"/>
            <w:hideMark/>
          </w:tcPr>
          <w:p w14:paraId="3BC3D14A" w14:textId="77777777" w:rsidR="00D551B4" w:rsidRPr="00D551B4" w:rsidRDefault="00D551B4" w:rsidP="00BA3359">
            <w:pPr>
              <w:jc w:val="center"/>
              <w:rPr>
                <w:rFonts w:ascii="Calibri" w:hAnsi="Calibri"/>
              </w:rPr>
            </w:pPr>
            <w:r w:rsidRPr="00D551B4">
              <w:rPr>
                <w:rFonts w:ascii="Calibri" w:hAnsi="Calibri"/>
              </w:rPr>
              <w:t>0.01</w:t>
            </w:r>
          </w:p>
        </w:tc>
        <w:tc>
          <w:tcPr>
            <w:tcW w:w="853" w:type="dxa"/>
            <w:tcBorders>
              <w:top w:val="nil"/>
              <w:left w:val="single" w:sz="4" w:space="0" w:color="auto"/>
              <w:bottom w:val="nil"/>
              <w:right w:val="single" w:sz="4" w:space="0" w:color="auto"/>
            </w:tcBorders>
            <w:shd w:val="clear" w:color="auto" w:fill="auto"/>
            <w:noWrap/>
            <w:vAlign w:val="bottom"/>
            <w:hideMark/>
          </w:tcPr>
          <w:p w14:paraId="6240DBFF" w14:textId="77777777" w:rsidR="00D551B4" w:rsidRPr="00D551B4" w:rsidRDefault="00D551B4" w:rsidP="00BA3359">
            <w:pPr>
              <w:jc w:val="center"/>
              <w:rPr>
                <w:rFonts w:ascii="Calibri" w:hAnsi="Calibri"/>
              </w:rPr>
            </w:pPr>
            <w:r w:rsidRPr="00D551B4">
              <w:rPr>
                <w:rFonts w:ascii="Calibri" w:hAnsi="Calibri"/>
              </w:rPr>
              <w:t>0.01</w:t>
            </w:r>
          </w:p>
        </w:tc>
        <w:tc>
          <w:tcPr>
            <w:tcW w:w="1157" w:type="dxa"/>
            <w:tcBorders>
              <w:top w:val="nil"/>
              <w:left w:val="single" w:sz="4" w:space="0" w:color="auto"/>
              <w:bottom w:val="nil"/>
              <w:right w:val="single" w:sz="4" w:space="0" w:color="auto"/>
            </w:tcBorders>
            <w:shd w:val="clear" w:color="auto" w:fill="auto"/>
            <w:noWrap/>
            <w:vAlign w:val="bottom"/>
            <w:hideMark/>
          </w:tcPr>
          <w:p w14:paraId="6D44B6DA" w14:textId="77777777" w:rsidR="00D551B4" w:rsidRPr="00D551B4" w:rsidRDefault="00D551B4" w:rsidP="00BA3359">
            <w:pPr>
              <w:jc w:val="center"/>
              <w:rPr>
                <w:rFonts w:ascii="Calibri" w:hAnsi="Calibri"/>
              </w:rPr>
            </w:pPr>
            <w:r w:rsidRPr="00D551B4">
              <w:rPr>
                <w:rFonts w:ascii="Calibri" w:hAnsi="Calibri"/>
              </w:rPr>
              <w:t>-0.03</w:t>
            </w:r>
          </w:p>
        </w:tc>
      </w:tr>
      <w:tr w:rsidR="00BA3359" w:rsidRPr="00D551B4" w14:paraId="31A06054" w14:textId="77777777" w:rsidTr="00E24C89">
        <w:trPr>
          <w:trHeight w:val="84"/>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E49E3B4" w14:textId="77777777" w:rsidR="00D551B4" w:rsidRPr="00D551B4" w:rsidRDefault="00D551B4" w:rsidP="00D551B4">
            <w:pPr>
              <w:rPr>
                <w:rFonts w:ascii="Calibri" w:hAnsi="Calibri"/>
              </w:rPr>
            </w:pPr>
            <w:r w:rsidRPr="00D551B4">
              <w:rPr>
                <w:rFonts w:ascii="Calibri" w:hAnsi="Calibri"/>
              </w:rPr>
              <w:t>Northeast</w:t>
            </w:r>
          </w:p>
        </w:tc>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B127FD" w14:textId="77777777" w:rsidR="00D551B4" w:rsidRPr="00D551B4" w:rsidRDefault="00D551B4" w:rsidP="00BA3359">
            <w:pPr>
              <w:jc w:val="center"/>
              <w:rPr>
                <w:rFonts w:ascii="Calibri" w:hAnsi="Calibri"/>
              </w:rPr>
            </w:pPr>
            <w:r w:rsidRPr="00D551B4">
              <w:rPr>
                <w:rFonts w:ascii="Calibri" w:hAnsi="Calibri"/>
              </w:rPr>
              <w:t>0.07</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7E57F492" w14:textId="77777777" w:rsidR="00D551B4" w:rsidRPr="00D551B4" w:rsidRDefault="00D551B4" w:rsidP="00BA3359">
            <w:pPr>
              <w:jc w:val="center"/>
              <w:rPr>
                <w:rFonts w:ascii="Calibri" w:hAnsi="Calibri"/>
              </w:rPr>
            </w:pPr>
            <w:r w:rsidRPr="00D551B4">
              <w:rPr>
                <w:rFonts w:ascii="Calibri" w:hAnsi="Calibri"/>
              </w:rPr>
              <w:t>0.01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4E8B64" w14:textId="77777777" w:rsidR="00D551B4" w:rsidRPr="00D551B4" w:rsidRDefault="00D551B4" w:rsidP="00BA3359">
            <w:pPr>
              <w:jc w:val="center"/>
              <w:rPr>
                <w:rFonts w:ascii="Calibri" w:hAnsi="Calibri"/>
              </w:rPr>
            </w:pPr>
            <w:r w:rsidRPr="00D551B4">
              <w:rPr>
                <w:rFonts w:ascii="Calibri" w:hAnsi="Calibri"/>
              </w:rPr>
              <w:t>0.04</w:t>
            </w:r>
          </w:p>
        </w:tc>
        <w:tc>
          <w:tcPr>
            <w:tcW w:w="853" w:type="dxa"/>
            <w:tcBorders>
              <w:top w:val="nil"/>
              <w:left w:val="single" w:sz="4" w:space="0" w:color="auto"/>
              <w:bottom w:val="single" w:sz="4" w:space="0" w:color="auto"/>
              <w:right w:val="single" w:sz="4" w:space="0" w:color="auto"/>
            </w:tcBorders>
            <w:shd w:val="clear" w:color="auto" w:fill="auto"/>
            <w:noWrap/>
            <w:vAlign w:val="bottom"/>
            <w:hideMark/>
          </w:tcPr>
          <w:p w14:paraId="534622AA" w14:textId="77777777" w:rsidR="00D551B4" w:rsidRPr="00D551B4" w:rsidRDefault="00D551B4" w:rsidP="00BA3359">
            <w:pPr>
              <w:jc w:val="center"/>
              <w:rPr>
                <w:rFonts w:ascii="Calibri" w:hAnsi="Calibri"/>
              </w:rPr>
            </w:pPr>
            <w:r w:rsidRPr="00D551B4">
              <w:rPr>
                <w:rFonts w:ascii="Calibri" w:hAnsi="Calibri"/>
              </w:rPr>
              <w:t>0.01</w:t>
            </w:r>
          </w:p>
        </w:tc>
        <w:tc>
          <w:tcPr>
            <w:tcW w:w="1157" w:type="dxa"/>
            <w:tcBorders>
              <w:top w:val="nil"/>
              <w:left w:val="single" w:sz="4" w:space="0" w:color="auto"/>
              <w:bottom w:val="single" w:sz="4" w:space="0" w:color="auto"/>
              <w:right w:val="single" w:sz="4" w:space="0" w:color="auto"/>
            </w:tcBorders>
            <w:shd w:val="clear" w:color="auto" w:fill="auto"/>
            <w:noWrap/>
            <w:vAlign w:val="bottom"/>
            <w:hideMark/>
          </w:tcPr>
          <w:p w14:paraId="44ACBB75" w14:textId="77777777" w:rsidR="00D551B4" w:rsidRPr="00D551B4" w:rsidRDefault="00D551B4" w:rsidP="00BA3359">
            <w:pPr>
              <w:jc w:val="center"/>
              <w:rPr>
                <w:rFonts w:ascii="Calibri" w:hAnsi="Calibri"/>
              </w:rPr>
            </w:pPr>
            <w:r w:rsidRPr="00D551B4">
              <w:rPr>
                <w:rFonts w:ascii="Calibri" w:hAnsi="Calibri"/>
              </w:rPr>
              <w:t>-0.01</w:t>
            </w:r>
          </w:p>
        </w:tc>
      </w:tr>
    </w:tbl>
    <w:p w14:paraId="0FF804BD" w14:textId="4B25A513" w:rsidR="00BA3359" w:rsidRPr="00BA3359" w:rsidRDefault="00BA3359" w:rsidP="00D117DA">
      <w:pPr>
        <w:spacing w:line="276" w:lineRule="auto"/>
        <w:rPr>
          <w:color w:val="000000"/>
          <w:sz w:val="16"/>
          <w:szCs w:val="16"/>
        </w:rPr>
      </w:pPr>
      <w:r w:rsidRPr="00BA3359">
        <w:rPr>
          <w:color w:val="000000"/>
          <w:sz w:val="16"/>
          <w:szCs w:val="16"/>
        </w:rPr>
        <w:t>*</w:t>
      </w:r>
      <w:r>
        <w:rPr>
          <w:color w:val="000000"/>
          <w:sz w:val="16"/>
          <w:szCs w:val="16"/>
        </w:rPr>
        <w:t xml:space="preserve"> See Appendix for full Correlation Matrix</w:t>
      </w:r>
    </w:p>
    <w:p w14:paraId="5449A90D" w14:textId="29D29DAF" w:rsidR="005A2C9E" w:rsidRPr="00D117DA" w:rsidRDefault="005A2C9E" w:rsidP="00D117DA">
      <w:pPr>
        <w:spacing w:line="276" w:lineRule="auto"/>
        <w:rPr>
          <w:color w:val="000000"/>
        </w:rPr>
      </w:pPr>
      <w:r>
        <w:rPr>
          <w:b/>
          <w:bCs/>
          <w:color w:val="000000"/>
          <w:sz w:val="28"/>
          <w:szCs w:val="28"/>
          <w:u w:val="single"/>
        </w:rPr>
        <w:br w:type="page"/>
      </w:r>
    </w:p>
    <w:p w14:paraId="12188F20" w14:textId="084182F5" w:rsidR="005A2C9E" w:rsidRPr="005A2C9E" w:rsidRDefault="005A2C9E" w:rsidP="00870A96">
      <w:pPr>
        <w:spacing w:line="276" w:lineRule="auto"/>
        <w:rPr>
          <w:color w:val="000000"/>
        </w:rPr>
      </w:pPr>
      <w:r w:rsidRPr="005A2C9E">
        <w:rPr>
          <w:b/>
          <w:bCs/>
          <w:color w:val="000000"/>
          <w:sz w:val="28"/>
          <w:szCs w:val="28"/>
          <w:u w:val="single"/>
        </w:rPr>
        <w:lastRenderedPageBreak/>
        <w:t>Conclusion</w:t>
      </w:r>
    </w:p>
    <w:p w14:paraId="53377FD0" w14:textId="77777777" w:rsidR="005A2C9E" w:rsidRPr="005A2C9E" w:rsidRDefault="005A2C9E" w:rsidP="00870A96">
      <w:pPr>
        <w:spacing w:line="276" w:lineRule="auto"/>
        <w:rPr>
          <w:color w:val="000000"/>
        </w:rPr>
      </w:pPr>
    </w:p>
    <w:p w14:paraId="132F2974" w14:textId="42E755A3" w:rsidR="005A2C9E" w:rsidRPr="005A2C9E" w:rsidRDefault="005A2C9E" w:rsidP="00870A96">
      <w:pPr>
        <w:spacing w:line="276" w:lineRule="auto"/>
        <w:rPr>
          <w:color w:val="000000"/>
        </w:rPr>
      </w:pPr>
      <w:r w:rsidRPr="005A2C9E">
        <w:rPr>
          <w:color w:val="000000"/>
        </w:rPr>
        <w:t xml:space="preserve">In conclusion, our statistical analysis suggests that college graduates make </w:t>
      </w:r>
      <w:r w:rsidR="00537C99">
        <w:rPr>
          <w:color w:val="000000"/>
        </w:rPr>
        <w:t xml:space="preserve">at least </w:t>
      </w:r>
      <w:r w:rsidRPr="005A2C9E">
        <w:rPr>
          <w:color w:val="000000"/>
        </w:rPr>
        <w:t>approximately $22,304 more on average than non-graduates per year, holding all other variables constant</w:t>
      </w:r>
      <w:r w:rsidR="00C67ECB">
        <w:rPr>
          <w:color w:val="000000"/>
        </w:rPr>
        <w:t xml:space="preserve">, </w:t>
      </w:r>
      <w:r w:rsidR="001F6A96">
        <w:rPr>
          <w:color w:val="000000"/>
        </w:rPr>
        <w:t>al</w:t>
      </w:r>
      <w:r w:rsidR="00C67ECB">
        <w:rPr>
          <w:color w:val="000000"/>
        </w:rPr>
        <w:t>though this number is significantly higher for those with higher levels of cognitive ability</w:t>
      </w:r>
      <w:r w:rsidRPr="005A2C9E">
        <w:rPr>
          <w:color w:val="000000"/>
        </w:rPr>
        <w:t xml:space="preserve">. However, as Google is quick to point out, going to college is not the ultimate determinant of success for their concern. Instead, our analysis suggests that graduating from college comes with its monetary benefits, and prospective students must take these into consideration when making a decision. After all, the decision to go to college is a personal one, influenced by many factors which go beyond the scope of this report. However, to answer the question presented at the top, we believe that if a person intends to work, investing in a college education is a worthwhile venture, which repays its upfront cost in the years to come. </w:t>
      </w:r>
    </w:p>
    <w:p w14:paraId="634C5FD5" w14:textId="7E3AA3E3" w:rsidR="00BA3359" w:rsidRDefault="00BA3359" w:rsidP="00870A96">
      <w:pPr>
        <w:spacing w:line="276" w:lineRule="auto"/>
        <w:rPr>
          <w:rFonts w:ascii="-webkit-standard" w:hAnsi="-webkit-standard"/>
          <w:color w:val="000000"/>
        </w:rPr>
      </w:pPr>
      <w:r>
        <w:rPr>
          <w:rFonts w:ascii="-webkit-standard" w:hAnsi="-webkit-standard"/>
          <w:color w:val="000000"/>
        </w:rPr>
        <w:br w:type="page"/>
      </w:r>
    </w:p>
    <w:p w14:paraId="2AE0399C" w14:textId="56127896" w:rsidR="001124EE" w:rsidRDefault="00BA3359" w:rsidP="00870A96">
      <w:pPr>
        <w:spacing w:line="276" w:lineRule="auto"/>
        <w:rPr>
          <w:color w:val="000000"/>
        </w:rPr>
      </w:pPr>
      <w:r>
        <w:rPr>
          <w:b/>
          <w:bCs/>
          <w:color w:val="000000"/>
          <w:sz w:val="28"/>
          <w:szCs w:val="28"/>
          <w:u w:val="single"/>
        </w:rPr>
        <w:lastRenderedPageBreak/>
        <w:t>Appendix</w:t>
      </w:r>
    </w:p>
    <w:p w14:paraId="1DA8F493" w14:textId="752C1C13" w:rsidR="001124EE" w:rsidRDefault="001124EE" w:rsidP="00870A96">
      <w:pPr>
        <w:spacing w:line="276" w:lineRule="auto"/>
        <w:rPr>
          <w:color w:val="000000"/>
        </w:rPr>
      </w:pPr>
    </w:p>
    <w:p w14:paraId="383DFDB0" w14:textId="74303853" w:rsidR="001124EE" w:rsidRPr="001124EE" w:rsidRDefault="001124EE" w:rsidP="00870A96">
      <w:pPr>
        <w:spacing w:line="276" w:lineRule="auto"/>
        <w:rPr>
          <w:b/>
          <w:bCs/>
          <w:color w:val="000000"/>
        </w:rPr>
      </w:pPr>
      <w:r>
        <w:rPr>
          <w:b/>
          <w:bCs/>
          <w:color w:val="000000"/>
        </w:rPr>
        <w:t>Figure 9</w:t>
      </w:r>
    </w:p>
    <w:p w14:paraId="79358AE5" w14:textId="78EDC5A7" w:rsidR="001124EE" w:rsidRDefault="001124EE" w:rsidP="00870A96">
      <w:pPr>
        <w:spacing w:line="276" w:lineRule="auto"/>
        <w:rPr>
          <w:color w:val="000000"/>
        </w:rPr>
      </w:pPr>
    </w:p>
    <w:p w14:paraId="54C4A176" w14:textId="53F7CA3E" w:rsidR="001124EE" w:rsidRDefault="001124EE" w:rsidP="00870A96">
      <w:pPr>
        <w:spacing w:line="276" w:lineRule="auto"/>
        <w:rPr>
          <w:color w:val="000000"/>
        </w:rPr>
      </w:pPr>
      <w:r>
        <w:rPr>
          <w:color w:val="000000"/>
        </w:rPr>
        <w:t>Correlation Matrix</w:t>
      </w:r>
    </w:p>
    <w:p w14:paraId="349D5C96" w14:textId="4E3CE7AE" w:rsidR="001124EE" w:rsidRPr="001124EE" w:rsidRDefault="001124EE" w:rsidP="0029033E">
      <w:pPr>
        <w:spacing w:line="276" w:lineRule="auto"/>
        <w:rPr>
          <w:color w:val="000000"/>
        </w:rPr>
      </w:pPr>
      <w:r w:rsidRPr="001124EE">
        <w:rPr>
          <w:noProof/>
          <w:color w:val="000000"/>
        </w:rPr>
        <w:drawing>
          <wp:inline distT="0" distB="0" distL="0" distR="0" wp14:anchorId="1190CE3D" wp14:editId="366EE32D">
            <wp:extent cx="6398345" cy="137673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8358" cy="1398258"/>
                    </a:xfrm>
                    <a:prstGeom prst="rect">
                      <a:avLst/>
                    </a:prstGeom>
                  </pic:spPr>
                </pic:pic>
              </a:graphicData>
            </a:graphic>
          </wp:inline>
        </w:drawing>
      </w:r>
    </w:p>
    <w:sectPr w:rsidR="001124EE" w:rsidRPr="001124EE" w:rsidSect="00FC0EEB">
      <w:footerReference w:type="even" r:id="rId19"/>
      <w:footerReference w:type="default" r:id="rId20"/>
      <w:pgSz w:w="12240" w:h="15840"/>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AAE0D" w14:textId="77777777" w:rsidR="009C6E55" w:rsidRDefault="009C6E55" w:rsidP="00FC0EEB">
      <w:r>
        <w:separator/>
      </w:r>
    </w:p>
  </w:endnote>
  <w:endnote w:type="continuationSeparator" w:id="0">
    <w:p w14:paraId="0C983397" w14:textId="77777777" w:rsidR="009C6E55" w:rsidRDefault="009C6E55" w:rsidP="00FC0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ebkit-standard">
    <w:altName w:val="Calibri"/>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9294460"/>
      <w:docPartObj>
        <w:docPartGallery w:val="Page Numbers (Bottom of Page)"/>
        <w:docPartUnique/>
      </w:docPartObj>
    </w:sdtPr>
    <w:sdtContent>
      <w:p w14:paraId="4710F14F" w14:textId="77777777" w:rsidR="00F53620" w:rsidRDefault="00F53620" w:rsidP="00547E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0645A1" w14:textId="77777777" w:rsidR="00F53620" w:rsidRDefault="00F53620" w:rsidP="00FC0E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46C92" w14:textId="77777777" w:rsidR="00F53620" w:rsidRPr="00FC0EEB" w:rsidRDefault="00F53620" w:rsidP="00547E18">
    <w:pPr>
      <w:pStyle w:val="Footer"/>
      <w:framePr w:wrap="none" w:vAnchor="text" w:hAnchor="margin" w:xAlign="right" w:y="1"/>
      <w:rPr>
        <w:rStyle w:val="PageNumber"/>
        <w:rFonts w:ascii="Times New Roman" w:hAnsi="Times New Roman" w:cs="Times New Roman"/>
        <w:sz w:val="24"/>
        <w:szCs w:val="24"/>
      </w:rPr>
    </w:pPr>
    <w:sdt>
      <w:sdtPr>
        <w:rPr>
          <w:rStyle w:val="PageNumber"/>
          <w:rFonts w:ascii="Times New Roman" w:hAnsi="Times New Roman" w:cs="Times New Roman"/>
          <w:sz w:val="24"/>
          <w:szCs w:val="24"/>
        </w:rPr>
        <w:id w:val="2036072035"/>
        <w:docPartObj>
          <w:docPartGallery w:val="Page Numbers (Bottom of Page)"/>
          <w:docPartUnique/>
        </w:docPartObj>
      </w:sdtPr>
      <w:sdtContent>
        <w:r w:rsidRPr="00FC0EEB">
          <w:rPr>
            <w:rStyle w:val="PageNumber"/>
            <w:rFonts w:ascii="Times New Roman" w:hAnsi="Times New Roman" w:cs="Times New Roman"/>
            <w:sz w:val="24"/>
            <w:szCs w:val="24"/>
          </w:rPr>
          <w:fldChar w:fldCharType="begin"/>
        </w:r>
        <w:r w:rsidRPr="00FC0EEB">
          <w:rPr>
            <w:rStyle w:val="PageNumber"/>
            <w:rFonts w:ascii="Times New Roman" w:hAnsi="Times New Roman" w:cs="Times New Roman"/>
            <w:sz w:val="24"/>
            <w:szCs w:val="24"/>
          </w:rPr>
          <w:instrText xml:space="preserve"> PAGE </w:instrText>
        </w:r>
        <w:r w:rsidRPr="00FC0EEB">
          <w:rPr>
            <w:rStyle w:val="PageNumber"/>
            <w:rFonts w:ascii="Times New Roman" w:hAnsi="Times New Roman" w:cs="Times New Roman"/>
            <w:sz w:val="24"/>
            <w:szCs w:val="24"/>
          </w:rPr>
          <w:fldChar w:fldCharType="separate"/>
        </w:r>
        <w:r w:rsidRPr="00FC0EEB">
          <w:rPr>
            <w:rStyle w:val="PageNumber"/>
            <w:rFonts w:ascii="Times New Roman" w:hAnsi="Times New Roman" w:cs="Times New Roman"/>
            <w:noProof/>
            <w:sz w:val="24"/>
            <w:szCs w:val="24"/>
          </w:rPr>
          <w:t>1</w:t>
        </w:r>
        <w:r w:rsidRPr="00FC0EEB">
          <w:rPr>
            <w:rStyle w:val="PageNumber"/>
            <w:rFonts w:ascii="Times New Roman" w:hAnsi="Times New Roman" w:cs="Times New Roman"/>
            <w:sz w:val="24"/>
            <w:szCs w:val="24"/>
          </w:rPr>
          <w:fldChar w:fldCharType="end"/>
        </w:r>
      </w:sdtContent>
    </w:sdt>
  </w:p>
  <w:p w14:paraId="7B55D4EF" w14:textId="77777777" w:rsidR="00F53620" w:rsidRPr="00FC0EEB" w:rsidRDefault="00F53620" w:rsidP="00FC0EEB">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6996566"/>
      <w:docPartObj>
        <w:docPartGallery w:val="Page Numbers (Bottom of Page)"/>
        <w:docPartUnique/>
      </w:docPartObj>
    </w:sdtPr>
    <w:sdtEndPr>
      <w:rPr>
        <w:rStyle w:val="PageNumber"/>
      </w:rPr>
    </w:sdtEndPr>
    <w:sdtContent>
      <w:p w14:paraId="07451150" w14:textId="014E0E4C" w:rsidR="00BA3359" w:rsidRDefault="00BA3359" w:rsidP="00547E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9932F7" w14:textId="77777777" w:rsidR="00BA3359" w:rsidRDefault="00BA3359" w:rsidP="00FC0EE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EFFF9" w14:textId="23090F4A" w:rsidR="00BA3359" w:rsidRPr="00FC0EEB" w:rsidRDefault="009C6E55" w:rsidP="00547E18">
    <w:pPr>
      <w:pStyle w:val="Footer"/>
      <w:framePr w:wrap="none" w:vAnchor="text" w:hAnchor="margin" w:xAlign="right" w:y="1"/>
      <w:rPr>
        <w:rStyle w:val="PageNumber"/>
        <w:rFonts w:ascii="Times New Roman" w:hAnsi="Times New Roman" w:cs="Times New Roman"/>
        <w:sz w:val="24"/>
        <w:szCs w:val="24"/>
      </w:rPr>
    </w:pPr>
    <w:sdt>
      <w:sdtPr>
        <w:rPr>
          <w:rStyle w:val="PageNumber"/>
          <w:rFonts w:ascii="Times New Roman" w:hAnsi="Times New Roman" w:cs="Times New Roman"/>
          <w:sz w:val="24"/>
          <w:szCs w:val="24"/>
        </w:rPr>
        <w:id w:val="483669268"/>
        <w:docPartObj>
          <w:docPartGallery w:val="Page Numbers (Bottom of Page)"/>
          <w:docPartUnique/>
        </w:docPartObj>
      </w:sdtPr>
      <w:sdtEndPr>
        <w:rPr>
          <w:rStyle w:val="PageNumber"/>
        </w:rPr>
      </w:sdtEndPr>
      <w:sdtContent>
        <w:r w:rsidR="00BA3359" w:rsidRPr="00FC0EEB">
          <w:rPr>
            <w:rStyle w:val="PageNumber"/>
            <w:rFonts w:ascii="Times New Roman" w:hAnsi="Times New Roman" w:cs="Times New Roman"/>
            <w:sz w:val="24"/>
            <w:szCs w:val="24"/>
          </w:rPr>
          <w:fldChar w:fldCharType="begin"/>
        </w:r>
        <w:r w:rsidR="00BA3359" w:rsidRPr="00FC0EEB">
          <w:rPr>
            <w:rStyle w:val="PageNumber"/>
            <w:rFonts w:ascii="Times New Roman" w:hAnsi="Times New Roman" w:cs="Times New Roman"/>
            <w:sz w:val="24"/>
            <w:szCs w:val="24"/>
          </w:rPr>
          <w:instrText xml:space="preserve"> PAGE </w:instrText>
        </w:r>
        <w:r w:rsidR="00BA3359" w:rsidRPr="00FC0EEB">
          <w:rPr>
            <w:rStyle w:val="PageNumber"/>
            <w:rFonts w:ascii="Times New Roman" w:hAnsi="Times New Roman" w:cs="Times New Roman"/>
            <w:sz w:val="24"/>
            <w:szCs w:val="24"/>
          </w:rPr>
          <w:fldChar w:fldCharType="separate"/>
        </w:r>
        <w:r w:rsidR="00BA3359" w:rsidRPr="00FC0EEB">
          <w:rPr>
            <w:rStyle w:val="PageNumber"/>
            <w:rFonts w:ascii="Times New Roman" w:hAnsi="Times New Roman" w:cs="Times New Roman"/>
            <w:noProof/>
            <w:sz w:val="24"/>
            <w:szCs w:val="24"/>
          </w:rPr>
          <w:t>1</w:t>
        </w:r>
        <w:r w:rsidR="00BA3359" w:rsidRPr="00FC0EEB">
          <w:rPr>
            <w:rStyle w:val="PageNumber"/>
            <w:rFonts w:ascii="Times New Roman" w:hAnsi="Times New Roman" w:cs="Times New Roman"/>
            <w:sz w:val="24"/>
            <w:szCs w:val="24"/>
          </w:rPr>
          <w:fldChar w:fldCharType="end"/>
        </w:r>
      </w:sdtContent>
    </w:sdt>
  </w:p>
  <w:p w14:paraId="442085EF" w14:textId="77777777" w:rsidR="00BA3359" w:rsidRPr="00FC0EEB" w:rsidRDefault="00BA3359" w:rsidP="00FC0EEB">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B665A" w14:textId="77777777" w:rsidR="009C6E55" w:rsidRDefault="009C6E55" w:rsidP="00FC0EEB">
      <w:r>
        <w:separator/>
      </w:r>
    </w:p>
  </w:footnote>
  <w:footnote w:type="continuationSeparator" w:id="0">
    <w:p w14:paraId="0C4A5594" w14:textId="77777777" w:rsidR="009C6E55" w:rsidRDefault="009C6E55" w:rsidP="00FC0E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76"/>
    <w:rsid w:val="00013686"/>
    <w:rsid w:val="0001620F"/>
    <w:rsid w:val="00062693"/>
    <w:rsid w:val="000854E0"/>
    <w:rsid w:val="001124EE"/>
    <w:rsid w:val="001C3BC1"/>
    <w:rsid w:val="001F6A96"/>
    <w:rsid w:val="00242870"/>
    <w:rsid w:val="00251E33"/>
    <w:rsid w:val="002536A2"/>
    <w:rsid w:val="00253B56"/>
    <w:rsid w:val="0029033E"/>
    <w:rsid w:val="002A4605"/>
    <w:rsid w:val="002C41BF"/>
    <w:rsid w:val="003022CE"/>
    <w:rsid w:val="00312C38"/>
    <w:rsid w:val="0036651E"/>
    <w:rsid w:val="00375073"/>
    <w:rsid w:val="00385885"/>
    <w:rsid w:val="0043760B"/>
    <w:rsid w:val="0044643D"/>
    <w:rsid w:val="00451863"/>
    <w:rsid w:val="004E1EAA"/>
    <w:rsid w:val="0052042A"/>
    <w:rsid w:val="00537C99"/>
    <w:rsid w:val="00547E18"/>
    <w:rsid w:val="005579BF"/>
    <w:rsid w:val="00596E8B"/>
    <w:rsid w:val="005A2C9E"/>
    <w:rsid w:val="005A37FD"/>
    <w:rsid w:val="005B5522"/>
    <w:rsid w:val="0060293A"/>
    <w:rsid w:val="00613077"/>
    <w:rsid w:val="00616298"/>
    <w:rsid w:val="0063405B"/>
    <w:rsid w:val="0063504F"/>
    <w:rsid w:val="00653E4A"/>
    <w:rsid w:val="006947BF"/>
    <w:rsid w:val="00696911"/>
    <w:rsid w:val="006A7028"/>
    <w:rsid w:val="006B05FD"/>
    <w:rsid w:val="006B11BB"/>
    <w:rsid w:val="006B7315"/>
    <w:rsid w:val="006D26DC"/>
    <w:rsid w:val="006D646F"/>
    <w:rsid w:val="007028B3"/>
    <w:rsid w:val="00752C7C"/>
    <w:rsid w:val="007845BB"/>
    <w:rsid w:val="007A15D9"/>
    <w:rsid w:val="008415A2"/>
    <w:rsid w:val="00870A96"/>
    <w:rsid w:val="0094257B"/>
    <w:rsid w:val="009B2F38"/>
    <w:rsid w:val="009C6E55"/>
    <w:rsid w:val="009D5817"/>
    <w:rsid w:val="009F7A5B"/>
    <w:rsid w:val="00A34A7C"/>
    <w:rsid w:val="00A970A5"/>
    <w:rsid w:val="00AB4E97"/>
    <w:rsid w:val="00BA3359"/>
    <w:rsid w:val="00BC3BD9"/>
    <w:rsid w:val="00BF1519"/>
    <w:rsid w:val="00C446F9"/>
    <w:rsid w:val="00C47E22"/>
    <w:rsid w:val="00C56B97"/>
    <w:rsid w:val="00C67ECB"/>
    <w:rsid w:val="00C852CB"/>
    <w:rsid w:val="00C978CF"/>
    <w:rsid w:val="00CA3254"/>
    <w:rsid w:val="00CB4F71"/>
    <w:rsid w:val="00D00A27"/>
    <w:rsid w:val="00D00C4F"/>
    <w:rsid w:val="00D02716"/>
    <w:rsid w:val="00D03E95"/>
    <w:rsid w:val="00D117DA"/>
    <w:rsid w:val="00D167FF"/>
    <w:rsid w:val="00D50B25"/>
    <w:rsid w:val="00D52717"/>
    <w:rsid w:val="00D551B4"/>
    <w:rsid w:val="00D74E18"/>
    <w:rsid w:val="00D77D66"/>
    <w:rsid w:val="00DB5CF3"/>
    <w:rsid w:val="00E23F6D"/>
    <w:rsid w:val="00E24C89"/>
    <w:rsid w:val="00EA2D10"/>
    <w:rsid w:val="00EA75F4"/>
    <w:rsid w:val="00EB3C76"/>
    <w:rsid w:val="00EB5028"/>
    <w:rsid w:val="00ED0DB9"/>
    <w:rsid w:val="00EE7615"/>
    <w:rsid w:val="00F00738"/>
    <w:rsid w:val="00F53620"/>
    <w:rsid w:val="00F64066"/>
    <w:rsid w:val="00FC0EEB"/>
    <w:rsid w:val="00FD25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D9ED"/>
  <w15:docId w15:val="{7F96BE36-3178-41F1-BC6B-0C55CEDF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3359"/>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C38"/>
    <w:rPr>
      <w:color w:val="0563C1" w:themeColor="hyperlink"/>
      <w:u w:val="single"/>
    </w:rPr>
  </w:style>
  <w:style w:type="character" w:styleId="UnresolvedMention">
    <w:name w:val="Unresolved Mention"/>
    <w:basedOn w:val="DefaultParagraphFont"/>
    <w:uiPriority w:val="99"/>
    <w:semiHidden/>
    <w:unhideWhenUsed/>
    <w:rsid w:val="00312C38"/>
    <w:rPr>
      <w:color w:val="605E5C"/>
      <w:shd w:val="clear" w:color="auto" w:fill="E1DFDD"/>
    </w:rPr>
  </w:style>
  <w:style w:type="paragraph" w:styleId="NormalWeb">
    <w:name w:val="Normal (Web)"/>
    <w:basedOn w:val="Normal"/>
    <w:uiPriority w:val="99"/>
    <w:semiHidden/>
    <w:unhideWhenUsed/>
    <w:rsid w:val="00CB4F71"/>
    <w:pPr>
      <w:spacing w:before="100" w:beforeAutospacing="1" w:after="100" w:afterAutospacing="1"/>
    </w:pPr>
  </w:style>
  <w:style w:type="paragraph" w:styleId="Footer">
    <w:name w:val="footer"/>
    <w:basedOn w:val="Normal"/>
    <w:link w:val="FooterChar"/>
    <w:uiPriority w:val="99"/>
    <w:unhideWhenUsed/>
    <w:rsid w:val="00FC0EEB"/>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C0EEB"/>
  </w:style>
  <w:style w:type="character" w:styleId="PageNumber">
    <w:name w:val="page number"/>
    <w:basedOn w:val="DefaultParagraphFont"/>
    <w:uiPriority w:val="99"/>
    <w:semiHidden/>
    <w:unhideWhenUsed/>
    <w:rsid w:val="00FC0EEB"/>
  </w:style>
  <w:style w:type="paragraph" w:styleId="Header">
    <w:name w:val="header"/>
    <w:basedOn w:val="Normal"/>
    <w:link w:val="HeaderChar"/>
    <w:uiPriority w:val="99"/>
    <w:unhideWhenUsed/>
    <w:rsid w:val="00FC0EEB"/>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C0EEB"/>
  </w:style>
  <w:style w:type="paragraph" w:styleId="BalloonText">
    <w:name w:val="Balloon Text"/>
    <w:basedOn w:val="Normal"/>
    <w:link w:val="BalloonTextChar"/>
    <w:uiPriority w:val="99"/>
    <w:semiHidden/>
    <w:unhideWhenUsed/>
    <w:rsid w:val="00F64066"/>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F64066"/>
    <w:rPr>
      <w:rFonts w:ascii="Times New Roman" w:hAnsi="Times New Roman" w:cs="Times New Roman"/>
      <w:sz w:val="18"/>
      <w:szCs w:val="18"/>
    </w:rPr>
  </w:style>
  <w:style w:type="table" w:styleId="TableGrid">
    <w:name w:val="Table Grid"/>
    <w:basedOn w:val="TableNormal"/>
    <w:uiPriority w:val="39"/>
    <w:rsid w:val="00D55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359"/>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6994">
      <w:bodyDiv w:val="1"/>
      <w:marLeft w:val="0"/>
      <w:marRight w:val="0"/>
      <w:marTop w:val="0"/>
      <w:marBottom w:val="0"/>
      <w:divBdr>
        <w:top w:val="none" w:sz="0" w:space="0" w:color="auto"/>
        <w:left w:val="none" w:sz="0" w:space="0" w:color="auto"/>
        <w:bottom w:val="none" w:sz="0" w:space="0" w:color="auto"/>
        <w:right w:val="none" w:sz="0" w:space="0" w:color="auto"/>
      </w:divBdr>
    </w:div>
    <w:div w:id="155609556">
      <w:bodyDiv w:val="1"/>
      <w:marLeft w:val="0"/>
      <w:marRight w:val="0"/>
      <w:marTop w:val="0"/>
      <w:marBottom w:val="0"/>
      <w:divBdr>
        <w:top w:val="none" w:sz="0" w:space="0" w:color="auto"/>
        <w:left w:val="none" w:sz="0" w:space="0" w:color="auto"/>
        <w:bottom w:val="none" w:sz="0" w:space="0" w:color="auto"/>
        <w:right w:val="none" w:sz="0" w:space="0" w:color="auto"/>
      </w:divBdr>
    </w:div>
    <w:div w:id="168763090">
      <w:bodyDiv w:val="1"/>
      <w:marLeft w:val="0"/>
      <w:marRight w:val="0"/>
      <w:marTop w:val="0"/>
      <w:marBottom w:val="0"/>
      <w:divBdr>
        <w:top w:val="none" w:sz="0" w:space="0" w:color="auto"/>
        <w:left w:val="none" w:sz="0" w:space="0" w:color="auto"/>
        <w:bottom w:val="none" w:sz="0" w:space="0" w:color="auto"/>
        <w:right w:val="none" w:sz="0" w:space="0" w:color="auto"/>
      </w:divBdr>
    </w:div>
    <w:div w:id="305202615">
      <w:bodyDiv w:val="1"/>
      <w:marLeft w:val="0"/>
      <w:marRight w:val="0"/>
      <w:marTop w:val="0"/>
      <w:marBottom w:val="0"/>
      <w:divBdr>
        <w:top w:val="none" w:sz="0" w:space="0" w:color="auto"/>
        <w:left w:val="none" w:sz="0" w:space="0" w:color="auto"/>
        <w:bottom w:val="none" w:sz="0" w:space="0" w:color="auto"/>
        <w:right w:val="none" w:sz="0" w:space="0" w:color="auto"/>
      </w:divBdr>
    </w:div>
    <w:div w:id="414321019">
      <w:bodyDiv w:val="1"/>
      <w:marLeft w:val="0"/>
      <w:marRight w:val="0"/>
      <w:marTop w:val="0"/>
      <w:marBottom w:val="0"/>
      <w:divBdr>
        <w:top w:val="none" w:sz="0" w:space="0" w:color="auto"/>
        <w:left w:val="none" w:sz="0" w:space="0" w:color="auto"/>
        <w:bottom w:val="none" w:sz="0" w:space="0" w:color="auto"/>
        <w:right w:val="none" w:sz="0" w:space="0" w:color="auto"/>
      </w:divBdr>
    </w:div>
    <w:div w:id="416943158">
      <w:bodyDiv w:val="1"/>
      <w:marLeft w:val="0"/>
      <w:marRight w:val="0"/>
      <w:marTop w:val="0"/>
      <w:marBottom w:val="0"/>
      <w:divBdr>
        <w:top w:val="none" w:sz="0" w:space="0" w:color="auto"/>
        <w:left w:val="none" w:sz="0" w:space="0" w:color="auto"/>
        <w:bottom w:val="none" w:sz="0" w:space="0" w:color="auto"/>
        <w:right w:val="none" w:sz="0" w:space="0" w:color="auto"/>
      </w:divBdr>
    </w:div>
    <w:div w:id="423846312">
      <w:bodyDiv w:val="1"/>
      <w:marLeft w:val="0"/>
      <w:marRight w:val="0"/>
      <w:marTop w:val="0"/>
      <w:marBottom w:val="0"/>
      <w:divBdr>
        <w:top w:val="none" w:sz="0" w:space="0" w:color="auto"/>
        <w:left w:val="none" w:sz="0" w:space="0" w:color="auto"/>
        <w:bottom w:val="none" w:sz="0" w:space="0" w:color="auto"/>
        <w:right w:val="none" w:sz="0" w:space="0" w:color="auto"/>
      </w:divBdr>
    </w:div>
    <w:div w:id="500893878">
      <w:bodyDiv w:val="1"/>
      <w:marLeft w:val="0"/>
      <w:marRight w:val="0"/>
      <w:marTop w:val="0"/>
      <w:marBottom w:val="0"/>
      <w:divBdr>
        <w:top w:val="none" w:sz="0" w:space="0" w:color="auto"/>
        <w:left w:val="none" w:sz="0" w:space="0" w:color="auto"/>
        <w:bottom w:val="none" w:sz="0" w:space="0" w:color="auto"/>
        <w:right w:val="none" w:sz="0" w:space="0" w:color="auto"/>
      </w:divBdr>
    </w:div>
    <w:div w:id="506941229">
      <w:bodyDiv w:val="1"/>
      <w:marLeft w:val="0"/>
      <w:marRight w:val="0"/>
      <w:marTop w:val="0"/>
      <w:marBottom w:val="0"/>
      <w:divBdr>
        <w:top w:val="none" w:sz="0" w:space="0" w:color="auto"/>
        <w:left w:val="none" w:sz="0" w:space="0" w:color="auto"/>
        <w:bottom w:val="none" w:sz="0" w:space="0" w:color="auto"/>
        <w:right w:val="none" w:sz="0" w:space="0" w:color="auto"/>
      </w:divBdr>
    </w:div>
    <w:div w:id="518391507">
      <w:bodyDiv w:val="1"/>
      <w:marLeft w:val="0"/>
      <w:marRight w:val="0"/>
      <w:marTop w:val="0"/>
      <w:marBottom w:val="0"/>
      <w:divBdr>
        <w:top w:val="none" w:sz="0" w:space="0" w:color="auto"/>
        <w:left w:val="none" w:sz="0" w:space="0" w:color="auto"/>
        <w:bottom w:val="none" w:sz="0" w:space="0" w:color="auto"/>
        <w:right w:val="none" w:sz="0" w:space="0" w:color="auto"/>
      </w:divBdr>
    </w:div>
    <w:div w:id="527253809">
      <w:bodyDiv w:val="1"/>
      <w:marLeft w:val="0"/>
      <w:marRight w:val="0"/>
      <w:marTop w:val="0"/>
      <w:marBottom w:val="0"/>
      <w:divBdr>
        <w:top w:val="none" w:sz="0" w:space="0" w:color="auto"/>
        <w:left w:val="none" w:sz="0" w:space="0" w:color="auto"/>
        <w:bottom w:val="none" w:sz="0" w:space="0" w:color="auto"/>
        <w:right w:val="none" w:sz="0" w:space="0" w:color="auto"/>
      </w:divBdr>
    </w:div>
    <w:div w:id="562177760">
      <w:bodyDiv w:val="1"/>
      <w:marLeft w:val="0"/>
      <w:marRight w:val="0"/>
      <w:marTop w:val="0"/>
      <w:marBottom w:val="0"/>
      <w:divBdr>
        <w:top w:val="none" w:sz="0" w:space="0" w:color="auto"/>
        <w:left w:val="none" w:sz="0" w:space="0" w:color="auto"/>
        <w:bottom w:val="none" w:sz="0" w:space="0" w:color="auto"/>
        <w:right w:val="none" w:sz="0" w:space="0" w:color="auto"/>
      </w:divBdr>
    </w:div>
    <w:div w:id="603345929">
      <w:bodyDiv w:val="1"/>
      <w:marLeft w:val="0"/>
      <w:marRight w:val="0"/>
      <w:marTop w:val="0"/>
      <w:marBottom w:val="0"/>
      <w:divBdr>
        <w:top w:val="none" w:sz="0" w:space="0" w:color="auto"/>
        <w:left w:val="none" w:sz="0" w:space="0" w:color="auto"/>
        <w:bottom w:val="none" w:sz="0" w:space="0" w:color="auto"/>
        <w:right w:val="none" w:sz="0" w:space="0" w:color="auto"/>
      </w:divBdr>
    </w:div>
    <w:div w:id="767390480">
      <w:bodyDiv w:val="1"/>
      <w:marLeft w:val="0"/>
      <w:marRight w:val="0"/>
      <w:marTop w:val="0"/>
      <w:marBottom w:val="0"/>
      <w:divBdr>
        <w:top w:val="none" w:sz="0" w:space="0" w:color="auto"/>
        <w:left w:val="none" w:sz="0" w:space="0" w:color="auto"/>
        <w:bottom w:val="none" w:sz="0" w:space="0" w:color="auto"/>
        <w:right w:val="none" w:sz="0" w:space="0" w:color="auto"/>
      </w:divBdr>
    </w:div>
    <w:div w:id="820384853">
      <w:bodyDiv w:val="1"/>
      <w:marLeft w:val="0"/>
      <w:marRight w:val="0"/>
      <w:marTop w:val="0"/>
      <w:marBottom w:val="0"/>
      <w:divBdr>
        <w:top w:val="none" w:sz="0" w:space="0" w:color="auto"/>
        <w:left w:val="none" w:sz="0" w:space="0" w:color="auto"/>
        <w:bottom w:val="none" w:sz="0" w:space="0" w:color="auto"/>
        <w:right w:val="none" w:sz="0" w:space="0" w:color="auto"/>
      </w:divBdr>
    </w:div>
    <w:div w:id="82269681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59319250">
      <w:bodyDiv w:val="1"/>
      <w:marLeft w:val="0"/>
      <w:marRight w:val="0"/>
      <w:marTop w:val="0"/>
      <w:marBottom w:val="0"/>
      <w:divBdr>
        <w:top w:val="none" w:sz="0" w:space="0" w:color="auto"/>
        <w:left w:val="none" w:sz="0" w:space="0" w:color="auto"/>
        <w:bottom w:val="none" w:sz="0" w:space="0" w:color="auto"/>
        <w:right w:val="none" w:sz="0" w:space="0" w:color="auto"/>
      </w:divBdr>
    </w:div>
    <w:div w:id="869609323">
      <w:bodyDiv w:val="1"/>
      <w:marLeft w:val="0"/>
      <w:marRight w:val="0"/>
      <w:marTop w:val="0"/>
      <w:marBottom w:val="0"/>
      <w:divBdr>
        <w:top w:val="none" w:sz="0" w:space="0" w:color="auto"/>
        <w:left w:val="none" w:sz="0" w:space="0" w:color="auto"/>
        <w:bottom w:val="none" w:sz="0" w:space="0" w:color="auto"/>
        <w:right w:val="none" w:sz="0" w:space="0" w:color="auto"/>
      </w:divBdr>
    </w:div>
    <w:div w:id="872956367">
      <w:bodyDiv w:val="1"/>
      <w:marLeft w:val="0"/>
      <w:marRight w:val="0"/>
      <w:marTop w:val="0"/>
      <w:marBottom w:val="0"/>
      <w:divBdr>
        <w:top w:val="none" w:sz="0" w:space="0" w:color="auto"/>
        <w:left w:val="none" w:sz="0" w:space="0" w:color="auto"/>
        <w:bottom w:val="none" w:sz="0" w:space="0" w:color="auto"/>
        <w:right w:val="none" w:sz="0" w:space="0" w:color="auto"/>
      </w:divBdr>
    </w:div>
    <w:div w:id="885145747">
      <w:bodyDiv w:val="1"/>
      <w:marLeft w:val="0"/>
      <w:marRight w:val="0"/>
      <w:marTop w:val="0"/>
      <w:marBottom w:val="0"/>
      <w:divBdr>
        <w:top w:val="none" w:sz="0" w:space="0" w:color="auto"/>
        <w:left w:val="none" w:sz="0" w:space="0" w:color="auto"/>
        <w:bottom w:val="none" w:sz="0" w:space="0" w:color="auto"/>
        <w:right w:val="none" w:sz="0" w:space="0" w:color="auto"/>
      </w:divBdr>
    </w:div>
    <w:div w:id="923535090">
      <w:bodyDiv w:val="1"/>
      <w:marLeft w:val="0"/>
      <w:marRight w:val="0"/>
      <w:marTop w:val="0"/>
      <w:marBottom w:val="0"/>
      <w:divBdr>
        <w:top w:val="none" w:sz="0" w:space="0" w:color="auto"/>
        <w:left w:val="none" w:sz="0" w:space="0" w:color="auto"/>
        <w:bottom w:val="none" w:sz="0" w:space="0" w:color="auto"/>
        <w:right w:val="none" w:sz="0" w:space="0" w:color="auto"/>
      </w:divBdr>
    </w:div>
    <w:div w:id="944701601">
      <w:bodyDiv w:val="1"/>
      <w:marLeft w:val="0"/>
      <w:marRight w:val="0"/>
      <w:marTop w:val="0"/>
      <w:marBottom w:val="0"/>
      <w:divBdr>
        <w:top w:val="none" w:sz="0" w:space="0" w:color="auto"/>
        <w:left w:val="none" w:sz="0" w:space="0" w:color="auto"/>
        <w:bottom w:val="none" w:sz="0" w:space="0" w:color="auto"/>
        <w:right w:val="none" w:sz="0" w:space="0" w:color="auto"/>
      </w:divBdr>
    </w:div>
    <w:div w:id="1025591938">
      <w:bodyDiv w:val="1"/>
      <w:marLeft w:val="0"/>
      <w:marRight w:val="0"/>
      <w:marTop w:val="0"/>
      <w:marBottom w:val="0"/>
      <w:divBdr>
        <w:top w:val="none" w:sz="0" w:space="0" w:color="auto"/>
        <w:left w:val="none" w:sz="0" w:space="0" w:color="auto"/>
        <w:bottom w:val="none" w:sz="0" w:space="0" w:color="auto"/>
        <w:right w:val="none" w:sz="0" w:space="0" w:color="auto"/>
      </w:divBdr>
    </w:div>
    <w:div w:id="1065377693">
      <w:bodyDiv w:val="1"/>
      <w:marLeft w:val="0"/>
      <w:marRight w:val="0"/>
      <w:marTop w:val="0"/>
      <w:marBottom w:val="0"/>
      <w:divBdr>
        <w:top w:val="none" w:sz="0" w:space="0" w:color="auto"/>
        <w:left w:val="none" w:sz="0" w:space="0" w:color="auto"/>
        <w:bottom w:val="none" w:sz="0" w:space="0" w:color="auto"/>
        <w:right w:val="none" w:sz="0" w:space="0" w:color="auto"/>
      </w:divBdr>
    </w:div>
    <w:div w:id="1085230248">
      <w:bodyDiv w:val="1"/>
      <w:marLeft w:val="0"/>
      <w:marRight w:val="0"/>
      <w:marTop w:val="0"/>
      <w:marBottom w:val="0"/>
      <w:divBdr>
        <w:top w:val="none" w:sz="0" w:space="0" w:color="auto"/>
        <w:left w:val="none" w:sz="0" w:space="0" w:color="auto"/>
        <w:bottom w:val="none" w:sz="0" w:space="0" w:color="auto"/>
        <w:right w:val="none" w:sz="0" w:space="0" w:color="auto"/>
      </w:divBdr>
    </w:div>
    <w:div w:id="1122193679">
      <w:bodyDiv w:val="1"/>
      <w:marLeft w:val="0"/>
      <w:marRight w:val="0"/>
      <w:marTop w:val="0"/>
      <w:marBottom w:val="0"/>
      <w:divBdr>
        <w:top w:val="none" w:sz="0" w:space="0" w:color="auto"/>
        <w:left w:val="none" w:sz="0" w:space="0" w:color="auto"/>
        <w:bottom w:val="none" w:sz="0" w:space="0" w:color="auto"/>
        <w:right w:val="none" w:sz="0" w:space="0" w:color="auto"/>
      </w:divBdr>
    </w:div>
    <w:div w:id="1186988969">
      <w:bodyDiv w:val="1"/>
      <w:marLeft w:val="0"/>
      <w:marRight w:val="0"/>
      <w:marTop w:val="0"/>
      <w:marBottom w:val="0"/>
      <w:divBdr>
        <w:top w:val="none" w:sz="0" w:space="0" w:color="auto"/>
        <w:left w:val="none" w:sz="0" w:space="0" w:color="auto"/>
        <w:bottom w:val="none" w:sz="0" w:space="0" w:color="auto"/>
        <w:right w:val="none" w:sz="0" w:space="0" w:color="auto"/>
      </w:divBdr>
    </w:div>
    <w:div w:id="1197352524">
      <w:bodyDiv w:val="1"/>
      <w:marLeft w:val="0"/>
      <w:marRight w:val="0"/>
      <w:marTop w:val="0"/>
      <w:marBottom w:val="0"/>
      <w:divBdr>
        <w:top w:val="none" w:sz="0" w:space="0" w:color="auto"/>
        <w:left w:val="none" w:sz="0" w:space="0" w:color="auto"/>
        <w:bottom w:val="none" w:sz="0" w:space="0" w:color="auto"/>
        <w:right w:val="none" w:sz="0" w:space="0" w:color="auto"/>
      </w:divBdr>
    </w:div>
    <w:div w:id="1240796706">
      <w:bodyDiv w:val="1"/>
      <w:marLeft w:val="0"/>
      <w:marRight w:val="0"/>
      <w:marTop w:val="0"/>
      <w:marBottom w:val="0"/>
      <w:divBdr>
        <w:top w:val="none" w:sz="0" w:space="0" w:color="auto"/>
        <w:left w:val="none" w:sz="0" w:space="0" w:color="auto"/>
        <w:bottom w:val="none" w:sz="0" w:space="0" w:color="auto"/>
        <w:right w:val="none" w:sz="0" w:space="0" w:color="auto"/>
      </w:divBdr>
    </w:div>
    <w:div w:id="1324775315">
      <w:bodyDiv w:val="1"/>
      <w:marLeft w:val="0"/>
      <w:marRight w:val="0"/>
      <w:marTop w:val="0"/>
      <w:marBottom w:val="0"/>
      <w:divBdr>
        <w:top w:val="none" w:sz="0" w:space="0" w:color="auto"/>
        <w:left w:val="none" w:sz="0" w:space="0" w:color="auto"/>
        <w:bottom w:val="none" w:sz="0" w:space="0" w:color="auto"/>
        <w:right w:val="none" w:sz="0" w:space="0" w:color="auto"/>
      </w:divBdr>
    </w:div>
    <w:div w:id="1436365457">
      <w:bodyDiv w:val="1"/>
      <w:marLeft w:val="0"/>
      <w:marRight w:val="0"/>
      <w:marTop w:val="0"/>
      <w:marBottom w:val="0"/>
      <w:divBdr>
        <w:top w:val="none" w:sz="0" w:space="0" w:color="auto"/>
        <w:left w:val="none" w:sz="0" w:space="0" w:color="auto"/>
        <w:bottom w:val="none" w:sz="0" w:space="0" w:color="auto"/>
        <w:right w:val="none" w:sz="0" w:space="0" w:color="auto"/>
      </w:divBdr>
    </w:div>
    <w:div w:id="1653825920">
      <w:bodyDiv w:val="1"/>
      <w:marLeft w:val="0"/>
      <w:marRight w:val="0"/>
      <w:marTop w:val="0"/>
      <w:marBottom w:val="0"/>
      <w:divBdr>
        <w:top w:val="none" w:sz="0" w:space="0" w:color="auto"/>
        <w:left w:val="none" w:sz="0" w:space="0" w:color="auto"/>
        <w:bottom w:val="none" w:sz="0" w:space="0" w:color="auto"/>
        <w:right w:val="none" w:sz="0" w:space="0" w:color="auto"/>
      </w:divBdr>
    </w:div>
    <w:div w:id="1657031639">
      <w:bodyDiv w:val="1"/>
      <w:marLeft w:val="0"/>
      <w:marRight w:val="0"/>
      <w:marTop w:val="0"/>
      <w:marBottom w:val="0"/>
      <w:divBdr>
        <w:top w:val="none" w:sz="0" w:space="0" w:color="auto"/>
        <w:left w:val="none" w:sz="0" w:space="0" w:color="auto"/>
        <w:bottom w:val="none" w:sz="0" w:space="0" w:color="auto"/>
        <w:right w:val="none" w:sz="0" w:space="0" w:color="auto"/>
      </w:divBdr>
    </w:div>
    <w:div w:id="1672179014">
      <w:bodyDiv w:val="1"/>
      <w:marLeft w:val="0"/>
      <w:marRight w:val="0"/>
      <w:marTop w:val="0"/>
      <w:marBottom w:val="0"/>
      <w:divBdr>
        <w:top w:val="none" w:sz="0" w:space="0" w:color="auto"/>
        <w:left w:val="none" w:sz="0" w:space="0" w:color="auto"/>
        <w:bottom w:val="none" w:sz="0" w:space="0" w:color="auto"/>
        <w:right w:val="none" w:sz="0" w:space="0" w:color="auto"/>
      </w:divBdr>
    </w:div>
    <w:div w:id="1788697746">
      <w:bodyDiv w:val="1"/>
      <w:marLeft w:val="0"/>
      <w:marRight w:val="0"/>
      <w:marTop w:val="0"/>
      <w:marBottom w:val="0"/>
      <w:divBdr>
        <w:top w:val="none" w:sz="0" w:space="0" w:color="auto"/>
        <w:left w:val="none" w:sz="0" w:space="0" w:color="auto"/>
        <w:bottom w:val="none" w:sz="0" w:space="0" w:color="auto"/>
        <w:right w:val="none" w:sz="0" w:space="0" w:color="auto"/>
      </w:divBdr>
    </w:div>
    <w:div w:id="1816414460">
      <w:bodyDiv w:val="1"/>
      <w:marLeft w:val="0"/>
      <w:marRight w:val="0"/>
      <w:marTop w:val="0"/>
      <w:marBottom w:val="0"/>
      <w:divBdr>
        <w:top w:val="none" w:sz="0" w:space="0" w:color="auto"/>
        <w:left w:val="none" w:sz="0" w:space="0" w:color="auto"/>
        <w:bottom w:val="none" w:sz="0" w:space="0" w:color="auto"/>
        <w:right w:val="none" w:sz="0" w:space="0" w:color="auto"/>
      </w:divBdr>
    </w:div>
    <w:div w:id="1835222939">
      <w:bodyDiv w:val="1"/>
      <w:marLeft w:val="0"/>
      <w:marRight w:val="0"/>
      <w:marTop w:val="0"/>
      <w:marBottom w:val="0"/>
      <w:divBdr>
        <w:top w:val="none" w:sz="0" w:space="0" w:color="auto"/>
        <w:left w:val="none" w:sz="0" w:space="0" w:color="auto"/>
        <w:bottom w:val="none" w:sz="0" w:space="0" w:color="auto"/>
        <w:right w:val="none" w:sz="0" w:space="0" w:color="auto"/>
      </w:divBdr>
    </w:div>
    <w:div w:id="1846944407">
      <w:bodyDiv w:val="1"/>
      <w:marLeft w:val="0"/>
      <w:marRight w:val="0"/>
      <w:marTop w:val="0"/>
      <w:marBottom w:val="0"/>
      <w:divBdr>
        <w:top w:val="none" w:sz="0" w:space="0" w:color="auto"/>
        <w:left w:val="none" w:sz="0" w:space="0" w:color="auto"/>
        <w:bottom w:val="none" w:sz="0" w:space="0" w:color="auto"/>
        <w:right w:val="none" w:sz="0" w:space="0" w:color="auto"/>
      </w:divBdr>
    </w:div>
    <w:div w:id="1924337149">
      <w:bodyDiv w:val="1"/>
      <w:marLeft w:val="0"/>
      <w:marRight w:val="0"/>
      <w:marTop w:val="0"/>
      <w:marBottom w:val="0"/>
      <w:divBdr>
        <w:top w:val="none" w:sz="0" w:space="0" w:color="auto"/>
        <w:left w:val="none" w:sz="0" w:space="0" w:color="auto"/>
        <w:bottom w:val="none" w:sz="0" w:space="0" w:color="auto"/>
        <w:right w:val="none" w:sz="0" w:space="0" w:color="auto"/>
      </w:divBdr>
    </w:div>
    <w:div w:id="1953659398">
      <w:bodyDiv w:val="1"/>
      <w:marLeft w:val="0"/>
      <w:marRight w:val="0"/>
      <w:marTop w:val="0"/>
      <w:marBottom w:val="0"/>
      <w:divBdr>
        <w:top w:val="none" w:sz="0" w:space="0" w:color="auto"/>
        <w:left w:val="none" w:sz="0" w:space="0" w:color="auto"/>
        <w:bottom w:val="none" w:sz="0" w:space="0" w:color="auto"/>
        <w:right w:val="none" w:sz="0" w:space="0" w:color="auto"/>
      </w:divBdr>
    </w:div>
    <w:div w:id="1987011052">
      <w:bodyDiv w:val="1"/>
      <w:marLeft w:val="0"/>
      <w:marRight w:val="0"/>
      <w:marTop w:val="0"/>
      <w:marBottom w:val="0"/>
      <w:divBdr>
        <w:top w:val="none" w:sz="0" w:space="0" w:color="auto"/>
        <w:left w:val="none" w:sz="0" w:space="0" w:color="auto"/>
        <w:bottom w:val="none" w:sz="0" w:space="0" w:color="auto"/>
        <w:right w:val="none" w:sz="0" w:space="0" w:color="auto"/>
      </w:divBdr>
    </w:div>
    <w:div w:id="1989287671">
      <w:bodyDiv w:val="1"/>
      <w:marLeft w:val="0"/>
      <w:marRight w:val="0"/>
      <w:marTop w:val="0"/>
      <w:marBottom w:val="0"/>
      <w:divBdr>
        <w:top w:val="none" w:sz="0" w:space="0" w:color="auto"/>
        <w:left w:val="none" w:sz="0" w:space="0" w:color="auto"/>
        <w:bottom w:val="none" w:sz="0" w:space="0" w:color="auto"/>
        <w:right w:val="none" w:sz="0" w:space="0" w:color="auto"/>
      </w:divBdr>
    </w:div>
    <w:div w:id="202050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wlee@bu.edu" TargetMode="External"/><Relationship Id="rId13" Type="http://schemas.openxmlformats.org/officeDocument/2006/relationships/chart" Target="charts/chart3.xm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ishib@bu.edu" TargetMode="Externa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ishib/Downloads/Darrus,%20Rishi%20QM%2022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ishib/Downloads/Darrus,%20Rishi%20QM%20222%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ishib/Downloads/Darrus,%20Rishi%20QM%20222%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ishib/Downloads/Darrus,%20Rishi%20QM%20222%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rishib/Downloads/Darrus,%20Rishi%20QM%20222%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rishib/Downloads/Darrus,%20Rishi%20QM%20222%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rishib/Desktop/QM%20222/Projects/Darrus,%20Rishi%20QM%20222%20Data%20Project%20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Relative Frequency of </a:t>
            </a:r>
          </a:p>
          <a:p>
            <a:pPr>
              <a:defRPr/>
            </a:pPr>
            <a:r>
              <a:rPr lang="en-US" b="1">
                <a:solidFill>
                  <a:schemeClr val="tx1"/>
                </a:solidFill>
              </a:rPr>
              <a:t>Earnings for Non-Graduates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 Non-Grad'!$B$1</c:f>
              <c:strCache>
                <c:ptCount val="1"/>
                <c:pt idx="0">
                  <c:v>Relative Frequency</c:v>
                </c:pt>
              </c:strCache>
            </c:strRef>
          </c:tx>
          <c:spPr>
            <a:solidFill>
              <a:schemeClr val="accent1"/>
            </a:solidFill>
            <a:ln>
              <a:solidFill>
                <a:schemeClr val="tx1"/>
              </a:solidFill>
            </a:ln>
            <a:effectLst/>
          </c:spPr>
          <c:invertIfNegative val="0"/>
          <c:cat>
            <c:strRef>
              <c:f>'2 Non-Grad'!$A$2:$A$12</c:f>
              <c:strCache>
                <c:ptCount val="11"/>
                <c:pt idx="0">
                  <c:v>&lt; 10K</c:v>
                </c:pt>
                <c:pt idx="1">
                  <c:v>10-19K</c:v>
                </c:pt>
                <c:pt idx="2">
                  <c:v>20-29K</c:v>
                </c:pt>
                <c:pt idx="3">
                  <c:v>30-39K</c:v>
                </c:pt>
                <c:pt idx="4">
                  <c:v>40-49K</c:v>
                </c:pt>
                <c:pt idx="5">
                  <c:v>50-59K</c:v>
                </c:pt>
                <c:pt idx="6">
                  <c:v>60-69K</c:v>
                </c:pt>
                <c:pt idx="7">
                  <c:v>70-79K</c:v>
                </c:pt>
                <c:pt idx="8">
                  <c:v>80-89K</c:v>
                </c:pt>
                <c:pt idx="9">
                  <c:v>90-99K</c:v>
                </c:pt>
                <c:pt idx="10">
                  <c:v>&gt; 100K</c:v>
                </c:pt>
              </c:strCache>
            </c:strRef>
          </c:cat>
          <c:val>
            <c:numRef>
              <c:f>'2 Non-Grad'!$B$2:$B$12</c:f>
              <c:numCache>
                <c:formatCode>0%</c:formatCode>
                <c:ptCount val="11"/>
                <c:pt idx="0">
                  <c:v>0.31454737583656217</c:v>
                </c:pt>
                <c:pt idx="1">
                  <c:v>0.11729482212046495</c:v>
                </c:pt>
                <c:pt idx="2">
                  <c:v>0.14230362803804156</c:v>
                </c:pt>
                <c:pt idx="3">
                  <c:v>0.12398731947868968</c:v>
                </c:pt>
                <c:pt idx="4">
                  <c:v>9.1581542796759424E-2</c:v>
                </c:pt>
                <c:pt idx="5">
                  <c:v>7.1151814019020779E-2</c:v>
                </c:pt>
                <c:pt idx="6">
                  <c:v>4.4381824586121874E-2</c:v>
                </c:pt>
                <c:pt idx="7">
                  <c:v>2.8531172948221203E-2</c:v>
                </c:pt>
                <c:pt idx="8">
                  <c:v>2.2895385699189856E-2</c:v>
                </c:pt>
                <c:pt idx="9">
                  <c:v>1.3384994716449454E-2</c:v>
                </c:pt>
                <c:pt idx="10">
                  <c:v>2.9940119760479042E-2</c:v>
                </c:pt>
              </c:numCache>
            </c:numRef>
          </c:val>
          <c:extLst>
            <c:ext xmlns:c16="http://schemas.microsoft.com/office/drawing/2014/chart" uri="{C3380CC4-5D6E-409C-BE32-E72D297353CC}">
              <c16:uniqueId val="{00000000-A7F3-404F-B53A-963BC2202C83}"/>
            </c:ext>
          </c:extLst>
        </c:ser>
        <c:dLbls>
          <c:showLegendKey val="0"/>
          <c:showVal val="0"/>
          <c:showCatName val="0"/>
          <c:showSerName val="0"/>
          <c:showPercent val="0"/>
          <c:showBubbleSize val="0"/>
        </c:dLbls>
        <c:gapWidth val="10"/>
        <c:overlap val="-27"/>
        <c:axId val="1394611536"/>
        <c:axId val="1394694256"/>
      </c:barChart>
      <c:catAx>
        <c:axId val="139461153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Earnings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694256"/>
        <c:crosses val="autoZero"/>
        <c:auto val="1"/>
        <c:lblAlgn val="ctr"/>
        <c:lblOffset val="100"/>
        <c:noMultiLvlLbl val="0"/>
      </c:catAx>
      <c:valAx>
        <c:axId val="1394694256"/>
        <c:scaling>
          <c:orientation val="minMax"/>
          <c:max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Non-Graduates</a:t>
                </a:r>
              </a:p>
            </c:rich>
          </c:tx>
          <c:layout>
            <c:manualLayout>
              <c:xMode val="edge"/>
              <c:yMode val="edge"/>
              <c:x val="1.8454177602799649E-2"/>
              <c:y val="0.4009111395808466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611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Relative Frequency of </a:t>
            </a:r>
          </a:p>
          <a:p>
            <a:pPr>
              <a:defRPr/>
            </a:pPr>
            <a:r>
              <a:rPr lang="en-US" b="1">
                <a:solidFill>
                  <a:schemeClr val="tx1"/>
                </a:solidFill>
              </a:rPr>
              <a:t>Earnings for Graduates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 Grad'!$B$1</c:f>
              <c:strCache>
                <c:ptCount val="1"/>
                <c:pt idx="0">
                  <c:v>Relative Frequency</c:v>
                </c:pt>
              </c:strCache>
            </c:strRef>
          </c:tx>
          <c:spPr>
            <a:solidFill>
              <a:schemeClr val="accent1"/>
            </a:solidFill>
            <a:ln>
              <a:solidFill>
                <a:schemeClr val="tx1"/>
              </a:solidFill>
            </a:ln>
            <a:effectLst/>
          </c:spPr>
          <c:invertIfNegative val="0"/>
          <c:cat>
            <c:strRef>
              <c:f>'2 Grad'!$A$2:$A$12</c:f>
              <c:strCache>
                <c:ptCount val="11"/>
                <c:pt idx="0">
                  <c:v>&lt; 10K</c:v>
                </c:pt>
                <c:pt idx="1">
                  <c:v>10-19K</c:v>
                </c:pt>
                <c:pt idx="2">
                  <c:v>20-29K</c:v>
                </c:pt>
                <c:pt idx="3">
                  <c:v>30-39K</c:v>
                </c:pt>
                <c:pt idx="4">
                  <c:v>40-49K</c:v>
                </c:pt>
                <c:pt idx="5">
                  <c:v>50-59K</c:v>
                </c:pt>
                <c:pt idx="6">
                  <c:v>60-69K</c:v>
                </c:pt>
                <c:pt idx="7">
                  <c:v>70-79K</c:v>
                </c:pt>
                <c:pt idx="8">
                  <c:v>80-89K</c:v>
                </c:pt>
                <c:pt idx="9">
                  <c:v>90-99K</c:v>
                </c:pt>
                <c:pt idx="10">
                  <c:v>&gt; 100K</c:v>
                </c:pt>
              </c:strCache>
            </c:strRef>
          </c:cat>
          <c:val>
            <c:numRef>
              <c:f>'2 Grad'!$B$2:$B$12</c:f>
              <c:numCache>
                <c:formatCode>0%</c:formatCode>
                <c:ptCount val="11"/>
                <c:pt idx="0">
                  <c:v>0.14749536178107606</c:v>
                </c:pt>
                <c:pt idx="1">
                  <c:v>5.1948051948051951E-2</c:v>
                </c:pt>
                <c:pt idx="2">
                  <c:v>5.844155844155844E-2</c:v>
                </c:pt>
                <c:pt idx="3">
                  <c:v>8.6270871985157704E-2</c:v>
                </c:pt>
                <c:pt idx="4">
                  <c:v>9.2764378478664186E-2</c:v>
                </c:pt>
                <c:pt idx="5">
                  <c:v>8.3487940630797772E-2</c:v>
                </c:pt>
                <c:pt idx="6">
                  <c:v>7.792207792207792E-2</c:v>
                </c:pt>
                <c:pt idx="7">
                  <c:v>6.7717996289424862E-2</c:v>
                </c:pt>
                <c:pt idx="8">
                  <c:v>4.3599257884972167E-2</c:v>
                </c:pt>
                <c:pt idx="9">
                  <c:v>5.4730983302411877E-2</c:v>
                </c:pt>
                <c:pt idx="10">
                  <c:v>0.23562152133580705</c:v>
                </c:pt>
              </c:numCache>
            </c:numRef>
          </c:val>
          <c:extLst>
            <c:ext xmlns:c16="http://schemas.microsoft.com/office/drawing/2014/chart" uri="{C3380CC4-5D6E-409C-BE32-E72D297353CC}">
              <c16:uniqueId val="{00000000-8621-7041-A8E0-DE52AF59909D}"/>
            </c:ext>
          </c:extLst>
        </c:ser>
        <c:dLbls>
          <c:showLegendKey val="0"/>
          <c:showVal val="0"/>
          <c:showCatName val="0"/>
          <c:showSerName val="0"/>
          <c:showPercent val="0"/>
          <c:showBubbleSize val="0"/>
        </c:dLbls>
        <c:gapWidth val="10"/>
        <c:overlap val="-27"/>
        <c:axId val="1334712976"/>
        <c:axId val="1750025776"/>
      </c:barChart>
      <c:catAx>
        <c:axId val="13347129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Earnings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025776"/>
        <c:crosses val="autoZero"/>
        <c:auto val="1"/>
        <c:lblAlgn val="ctr"/>
        <c:lblOffset val="100"/>
        <c:noMultiLvlLbl val="0"/>
      </c:catAx>
      <c:valAx>
        <c:axId val="1750025776"/>
        <c:scaling>
          <c:orientation val="minMax"/>
          <c:max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Graduates</a:t>
                </a:r>
              </a:p>
            </c:rich>
          </c:tx>
          <c:layout>
            <c:manualLayout>
              <c:xMode val="edge"/>
              <c:yMode val="edge"/>
              <c:x val="1.3888888888888888E-2"/>
              <c:y val="0.4456197142023913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712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Relative Frequency of </a:t>
            </a:r>
          </a:p>
          <a:p>
            <a:pPr>
              <a:defRPr b="1">
                <a:solidFill>
                  <a:schemeClr val="tx1"/>
                </a:solidFill>
              </a:defRPr>
            </a:pPr>
            <a:r>
              <a:rPr lang="en-US" b="1">
                <a:solidFill>
                  <a:schemeClr val="tx1"/>
                </a:solidFill>
              </a:rPr>
              <a:t>IQ Scores for Non-Graduates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'3 Non-Grad'!$B$1</c:f>
              <c:strCache>
                <c:ptCount val="1"/>
                <c:pt idx="0">
                  <c:v>Relative Frequency</c:v>
                </c:pt>
              </c:strCache>
            </c:strRef>
          </c:tx>
          <c:spPr>
            <a:solidFill>
              <a:schemeClr val="accent1"/>
            </a:solidFill>
            <a:ln>
              <a:solidFill>
                <a:schemeClr val="tx1"/>
              </a:solidFill>
            </a:ln>
            <a:effectLst/>
          </c:spPr>
          <c:invertIfNegative val="0"/>
          <c:cat>
            <c:strRef>
              <c:f>'3 Non-Grad'!$A$2:$A$7</c:f>
              <c:strCache>
                <c:ptCount val="6"/>
                <c:pt idx="0">
                  <c:v>&lt; 80</c:v>
                </c:pt>
                <c:pt idx="1">
                  <c:v>80-89</c:v>
                </c:pt>
                <c:pt idx="2">
                  <c:v>90-99</c:v>
                </c:pt>
                <c:pt idx="3">
                  <c:v>100-109</c:v>
                </c:pt>
                <c:pt idx="4">
                  <c:v>110-119</c:v>
                </c:pt>
                <c:pt idx="5">
                  <c:v>&gt; 120</c:v>
                </c:pt>
              </c:strCache>
            </c:strRef>
          </c:cat>
          <c:val>
            <c:numRef>
              <c:f>'3 Non-Grad'!$B$2:$B$7</c:f>
              <c:numCache>
                <c:formatCode>0%</c:formatCode>
                <c:ptCount val="6"/>
                <c:pt idx="0">
                  <c:v>0.17118703768932722</c:v>
                </c:pt>
                <c:pt idx="1">
                  <c:v>0.25079253258189504</c:v>
                </c:pt>
                <c:pt idx="2">
                  <c:v>0.2190912293060937</c:v>
                </c:pt>
                <c:pt idx="3">
                  <c:v>0.19267347657625924</c:v>
                </c:pt>
                <c:pt idx="4">
                  <c:v>0.13807678760126804</c:v>
                </c:pt>
                <c:pt idx="5">
                  <c:v>2.8178936245156744E-2</c:v>
                </c:pt>
              </c:numCache>
            </c:numRef>
          </c:val>
          <c:extLst>
            <c:ext xmlns:c16="http://schemas.microsoft.com/office/drawing/2014/chart" uri="{C3380CC4-5D6E-409C-BE32-E72D297353CC}">
              <c16:uniqueId val="{00000000-592E-9840-ADE9-9838DE3561EB}"/>
            </c:ext>
          </c:extLst>
        </c:ser>
        <c:dLbls>
          <c:showLegendKey val="0"/>
          <c:showVal val="0"/>
          <c:showCatName val="0"/>
          <c:showSerName val="0"/>
          <c:showPercent val="0"/>
          <c:showBubbleSize val="0"/>
        </c:dLbls>
        <c:gapWidth val="10"/>
        <c:overlap val="-27"/>
        <c:axId val="1283415872"/>
        <c:axId val="1410628480"/>
      </c:barChart>
      <c:catAx>
        <c:axId val="128341587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IQ</a:t>
                </a:r>
                <a:r>
                  <a:rPr lang="en-US" b="1" baseline="0">
                    <a:solidFill>
                      <a:schemeClr val="tx1"/>
                    </a:solidFill>
                  </a:rPr>
                  <a:t> Score Ranges</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0628480"/>
        <c:crosses val="autoZero"/>
        <c:auto val="1"/>
        <c:lblAlgn val="ctr"/>
        <c:lblOffset val="100"/>
        <c:noMultiLvlLbl val="0"/>
      </c:catAx>
      <c:valAx>
        <c:axId val="1410628480"/>
        <c:scaling>
          <c:orientation val="minMax"/>
          <c:max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Non-Graduates</a:t>
                </a:r>
              </a:p>
            </c:rich>
          </c:tx>
          <c:layout>
            <c:manualLayout>
              <c:xMode val="edge"/>
              <c:yMode val="edge"/>
              <c:x val="1.6215313092342285E-2"/>
              <c:y val="0.4136833385749341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415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Relative Frequency of </a:t>
            </a:r>
          </a:p>
          <a:p>
            <a:pPr>
              <a:defRPr/>
            </a:pPr>
            <a:r>
              <a:rPr lang="en-US" b="1">
                <a:solidFill>
                  <a:schemeClr val="tx1"/>
                </a:solidFill>
              </a:rPr>
              <a:t>IQ</a:t>
            </a:r>
            <a:r>
              <a:rPr lang="en-US" b="1" baseline="0">
                <a:solidFill>
                  <a:schemeClr val="tx1"/>
                </a:solidFill>
              </a:rPr>
              <a:t> Scores for Graduates</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'3 Grad'!$B$1</c:f>
              <c:strCache>
                <c:ptCount val="1"/>
                <c:pt idx="0">
                  <c:v>Relative Frequency</c:v>
                </c:pt>
              </c:strCache>
            </c:strRef>
          </c:tx>
          <c:spPr>
            <a:solidFill>
              <a:schemeClr val="accent1"/>
            </a:solidFill>
            <a:ln>
              <a:solidFill>
                <a:schemeClr val="tx1"/>
              </a:solidFill>
            </a:ln>
            <a:effectLst/>
          </c:spPr>
          <c:invertIfNegative val="0"/>
          <c:cat>
            <c:strRef>
              <c:f>'3 Grad'!$A$2:$A$7</c:f>
              <c:strCache>
                <c:ptCount val="6"/>
                <c:pt idx="0">
                  <c:v>&lt; 80</c:v>
                </c:pt>
                <c:pt idx="1">
                  <c:v>80-89</c:v>
                </c:pt>
                <c:pt idx="2">
                  <c:v>90-99</c:v>
                </c:pt>
                <c:pt idx="3">
                  <c:v>100-109</c:v>
                </c:pt>
                <c:pt idx="4">
                  <c:v>110-119</c:v>
                </c:pt>
                <c:pt idx="5">
                  <c:v>&gt; 120</c:v>
                </c:pt>
              </c:strCache>
            </c:strRef>
          </c:cat>
          <c:val>
            <c:numRef>
              <c:f>'3 Grad'!$B$2:$B$7</c:f>
              <c:numCache>
                <c:formatCode>0%</c:formatCode>
                <c:ptCount val="6"/>
                <c:pt idx="0">
                  <c:v>5.5658627087198514E-3</c:v>
                </c:pt>
                <c:pt idx="1">
                  <c:v>5.0092764378478663E-2</c:v>
                </c:pt>
                <c:pt idx="2">
                  <c:v>0.10018552875695733</c:v>
                </c:pt>
                <c:pt idx="3">
                  <c:v>0.18923933209647495</c:v>
                </c:pt>
                <c:pt idx="4">
                  <c:v>0.35064935064935066</c:v>
                </c:pt>
                <c:pt idx="5">
                  <c:v>0.30426716141001853</c:v>
                </c:pt>
              </c:numCache>
            </c:numRef>
          </c:val>
          <c:extLst>
            <c:ext xmlns:c16="http://schemas.microsoft.com/office/drawing/2014/chart" uri="{C3380CC4-5D6E-409C-BE32-E72D297353CC}">
              <c16:uniqueId val="{00000000-38EF-2240-B80A-68F9AA8E348C}"/>
            </c:ext>
          </c:extLst>
        </c:ser>
        <c:dLbls>
          <c:showLegendKey val="0"/>
          <c:showVal val="0"/>
          <c:showCatName val="0"/>
          <c:showSerName val="0"/>
          <c:showPercent val="0"/>
          <c:showBubbleSize val="0"/>
        </c:dLbls>
        <c:gapWidth val="10"/>
        <c:overlap val="-27"/>
        <c:axId val="1409573184"/>
        <c:axId val="1409999360"/>
      </c:barChart>
      <c:catAx>
        <c:axId val="1409573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chemeClr val="tx1"/>
                    </a:solidFill>
                  </a:rPr>
                  <a:t>IQ</a:t>
                </a:r>
                <a:r>
                  <a:rPr lang="en-US" b="1" baseline="0">
                    <a:solidFill>
                      <a:schemeClr val="tx1"/>
                    </a:solidFill>
                  </a:rPr>
                  <a:t> Score Ranges</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999360"/>
        <c:crosses val="autoZero"/>
        <c:auto val="1"/>
        <c:lblAlgn val="ctr"/>
        <c:lblOffset val="100"/>
        <c:noMultiLvlLbl val="0"/>
      </c:catAx>
      <c:valAx>
        <c:axId val="1409999360"/>
        <c:scaling>
          <c:orientation val="minMax"/>
          <c:max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Graduates</a:t>
                </a:r>
              </a:p>
            </c:rich>
          </c:tx>
          <c:layout>
            <c:manualLayout>
              <c:xMode val="edge"/>
              <c:yMode val="edge"/>
              <c:x val="1.5943036417322833E-2"/>
              <c:y val="0.4398928258967629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573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[Darrus, Rishi QM 222 Data.xlsx]Pivot 4, 5!PivotTable7</c:name>
    <c:fmtId val="-1"/>
  </c:pivotSource>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solidFill>
                  <a:schemeClr val="tx1"/>
                </a:solidFill>
              </a:rPr>
              <a:t>Average</a:t>
            </a:r>
            <a:r>
              <a:rPr lang="en-US" b="1" baseline="0">
                <a:solidFill>
                  <a:schemeClr val="tx1"/>
                </a:solidFill>
              </a:rPr>
              <a:t> Earnings by IQ Scores</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4, 5'!$B$3:$B$4</c:f>
              <c:strCache>
                <c:ptCount val="1"/>
                <c:pt idx="0">
                  <c:v>Non-graduate</c:v>
                </c:pt>
              </c:strCache>
            </c:strRef>
          </c:tx>
          <c:spPr>
            <a:ln w="28575" cap="rnd">
              <a:solidFill>
                <a:schemeClr val="accent1"/>
              </a:solidFill>
              <a:round/>
            </a:ln>
            <a:effectLst/>
          </c:spPr>
          <c:marker>
            <c:symbol val="none"/>
          </c:marker>
          <c:cat>
            <c:strRef>
              <c:f>'Pivot 4, 5'!$A$5:$A$10</c:f>
              <c:strCache>
                <c:ptCount val="6"/>
                <c:pt idx="0">
                  <c:v>Less than 80</c:v>
                </c:pt>
                <c:pt idx="1">
                  <c:v>80-89</c:v>
                </c:pt>
                <c:pt idx="2">
                  <c:v>90-99</c:v>
                </c:pt>
                <c:pt idx="3">
                  <c:v>100-109</c:v>
                </c:pt>
                <c:pt idx="4">
                  <c:v>110-119</c:v>
                </c:pt>
                <c:pt idx="5">
                  <c:v>120 and up</c:v>
                </c:pt>
              </c:strCache>
            </c:strRef>
          </c:cat>
          <c:val>
            <c:numRef>
              <c:f>'Pivot 4, 5'!$B$5:$B$10</c:f>
              <c:numCache>
                <c:formatCode>"$"#,##0</c:formatCode>
                <c:ptCount val="6"/>
                <c:pt idx="0">
                  <c:v>16474.746268656716</c:v>
                </c:pt>
                <c:pt idx="1">
                  <c:v>24674.704827586207</c:v>
                </c:pt>
                <c:pt idx="2">
                  <c:v>32989.171114599689</c:v>
                </c:pt>
                <c:pt idx="3">
                  <c:v>39080.373665480431</c:v>
                </c:pt>
                <c:pt idx="4">
                  <c:v>45000.326781326781</c:v>
                </c:pt>
                <c:pt idx="5">
                  <c:v>44391.188679245286</c:v>
                </c:pt>
              </c:numCache>
            </c:numRef>
          </c:val>
          <c:smooth val="0"/>
          <c:extLst>
            <c:ext xmlns:c16="http://schemas.microsoft.com/office/drawing/2014/chart" uri="{C3380CC4-5D6E-409C-BE32-E72D297353CC}">
              <c16:uniqueId val="{00000000-D503-094A-AD00-D52BE351548F}"/>
            </c:ext>
          </c:extLst>
        </c:ser>
        <c:ser>
          <c:idx val="1"/>
          <c:order val="1"/>
          <c:tx>
            <c:strRef>
              <c:f>'Pivot 4, 5'!$C$3:$C$4</c:f>
              <c:strCache>
                <c:ptCount val="1"/>
                <c:pt idx="0">
                  <c:v>Graduate</c:v>
                </c:pt>
              </c:strCache>
            </c:strRef>
          </c:tx>
          <c:spPr>
            <a:ln w="28575" cap="rnd">
              <a:solidFill>
                <a:schemeClr val="accent2"/>
              </a:solidFill>
              <a:round/>
            </a:ln>
            <a:effectLst/>
          </c:spPr>
          <c:marker>
            <c:symbol val="none"/>
          </c:marker>
          <c:cat>
            <c:strRef>
              <c:f>'Pivot 4, 5'!$A$5:$A$10</c:f>
              <c:strCache>
                <c:ptCount val="6"/>
                <c:pt idx="0">
                  <c:v>Less than 80</c:v>
                </c:pt>
                <c:pt idx="1">
                  <c:v>80-89</c:v>
                </c:pt>
                <c:pt idx="2">
                  <c:v>90-99</c:v>
                </c:pt>
                <c:pt idx="3">
                  <c:v>100-109</c:v>
                </c:pt>
                <c:pt idx="4">
                  <c:v>110-119</c:v>
                </c:pt>
                <c:pt idx="5">
                  <c:v>120 and up</c:v>
                </c:pt>
              </c:strCache>
            </c:strRef>
          </c:cat>
          <c:val>
            <c:numRef>
              <c:f>'Pivot 4, 5'!$C$5:$C$10</c:f>
              <c:numCache>
                <c:formatCode>"$"#,##0</c:formatCode>
                <c:ptCount val="6"/>
                <c:pt idx="0">
                  <c:v>32250</c:v>
                </c:pt>
                <c:pt idx="1">
                  <c:v>38181.541666666664</c:v>
                </c:pt>
                <c:pt idx="2">
                  <c:v>60518.520408163262</c:v>
                </c:pt>
                <c:pt idx="3">
                  <c:v>62686.266331658291</c:v>
                </c:pt>
                <c:pt idx="4">
                  <c:v>83018.078488372092</c:v>
                </c:pt>
                <c:pt idx="5">
                  <c:v>97340.119480519483</c:v>
                </c:pt>
              </c:numCache>
            </c:numRef>
          </c:val>
          <c:smooth val="0"/>
          <c:extLst>
            <c:ext xmlns:c16="http://schemas.microsoft.com/office/drawing/2014/chart" uri="{C3380CC4-5D6E-409C-BE32-E72D297353CC}">
              <c16:uniqueId val="{00000001-D503-094A-AD00-D52BE351548F}"/>
            </c:ext>
          </c:extLst>
        </c:ser>
        <c:dLbls>
          <c:showLegendKey val="0"/>
          <c:showVal val="0"/>
          <c:showCatName val="0"/>
          <c:showSerName val="0"/>
          <c:showPercent val="0"/>
          <c:showBubbleSize val="0"/>
        </c:dLbls>
        <c:smooth val="0"/>
        <c:axId val="1282915920"/>
        <c:axId val="1282917552"/>
      </c:lineChart>
      <c:catAx>
        <c:axId val="128291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1">
                    <a:solidFill>
                      <a:schemeClr val="tx1"/>
                    </a:solidFill>
                  </a:rPr>
                  <a:t>IQ</a:t>
                </a:r>
                <a:r>
                  <a:rPr lang="en-US" b="1" baseline="0">
                    <a:solidFill>
                      <a:schemeClr val="tx1"/>
                    </a:solidFill>
                  </a:rPr>
                  <a:t> Score Ranges</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8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917552"/>
        <c:crosses val="autoZero"/>
        <c:auto val="1"/>
        <c:lblAlgn val="ctr"/>
        <c:lblOffset val="100"/>
        <c:noMultiLvlLbl val="0"/>
      </c:catAx>
      <c:valAx>
        <c:axId val="1282917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Average</a:t>
                </a:r>
                <a:r>
                  <a:rPr lang="en-US" b="1" baseline="0">
                    <a:solidFill>
                      <a:schemeClr val="tx1"/>
                    </a:solidFill>
                  </a:rPr>
                  <a:t> Earnings</a:t>
                </a:r>
                <a:endParaRPr lang="en-US" b="1">
                  <a:solidFill>
                    <a:schemeClr val="tx1"/>
                  </a:solidFill>
                </a:endParaRPr>
              </a:p>
            </c:rich>
          </c:tx>
          <c:layout>
            <c:manualLayout>
              <c:xMode val="edge"/>
              <c:yMode val="edge"/>
              <c:x val="3.007518796992481E-2"/>
              <c:y val="0.33606747023920586"/>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915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[Darrus, Rishi QM 222 Data.xlsx]Pivot 6!PivotTable8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Average</a:t>
            </a:r>
            <a:r>
              <a:rPr lang="en-US" b="1" baseline="0">
                <a:solidFill>
                  <a:schemeClr val="tx1"/>
                </a:solidFill>
              </a:rPr>
              <a:t> Hours worked per week by IQ Scores</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6'!$B$3:$B$4</c:f>
              <c:strCache>
                <c:ptCount val="1"/>
                <c:pt idx="0">
                  <c:v>Non-graduate</c:v>
                </c:pt>
              </c:strCache>
            </c:strRef>
          </c:tx>
          <c:spPr>
            <a:ln w="28575" cap="rnd">
              <a:solidFill>
                <a:schemeClr val="accent1"/>
              </a:solidFill>
              <a:round/>
            </a:ln>
            <a:effectLst/>
          </c:spPr>
          <c:marker>
            <c:symbol val="none"/>
          </c:marker>
          <c:cat>
            <c:strRef>
              <c:f>'Pivot 6'!$A$5:$A$10</c:f>
              <c:strCache>
                <c:ptCount val="6"/>
                <c:pt idx="0">
                  <c:v>Less than 80</c:v>
                </c:pt>
                <c:pt idx="1">
                  <c:v>80-89</c:v>
                </c:pt>
                <c:pt idx="2">
                  <c:v>90-99</c:v>
                </c:pt>
                <c:pt idx="3">
                  <c:v>100-109</c:v>
                </c:pt>
                <c:pt idx="4">
                  <c:v>110-119</c:v>
                </c:pt>
                <c:pt idx="5">
                  <c:v>120 and up</c:v>
                </c:pt>
              </c:strCache>
            </c:strRef>
          </c:cat>
          <c:val>
            <c:numRef>
              <c:f>'Pivot 6'!$B$5:$B$10</c:f>
              <c:numCache>
                <c:formatCode>0</c:formatCode>
                <c:ptCount val="6"/>
                <c:pt idx="0">
                  <c:v>29.972636815920399</c:v>
                </c:pt>
                <c:pt idx="1">
                  <c:v>36.737931034482756</c:v>
                </c:pt>
                <c:pt idx="2">
                  <c:v>36.478806907378335</c:v>
                </c:pt>
                <c:pt idx="3">
                  <c:v>38.295373665480426</c:v>
                </c:pt>
                <c:pt idx="4">
                  <c:v>38.45945945945946</c:v>
                </c:pt>
                <c:pt idx="5">
                  <c:v>44.273584905660378</c:v>
                </c:pt>
              </c:numCache>
            </c:numRef>
          </c:val>
          <c:smooth val="0"/>
          <c:extLst>
            <c:ext xmlns:c16="http://schemas.microsoft.com/office/drawing/2014/chart" uri="{C3380CC4-5D6E-409C-BE32-E72D297353CC}">
              <c16:uniqueId val="{00000000-39FA-A145-81B2-0F12DF5F791A}"/>
            </c:ext>
          </c:extLst>
        </c:ser>
        <c:ser>
          <c:idx val="1"/>
          <c:order val="1"/>
          <c:tx>
            <c:strRef>
              <c:f>'Pivot 6'!$C$3:$C$4</c:f>
              <c:strCache>
                <c:ptCount val="1"/>
                <c:pt idx="0">
                  <c:v>Graduate</c:v>
                </c:pt>
              </c:strCache>
            </c:strRef>
          </c:tx>
          <c:spPr>
            <a:ln w="28575" cap="rnd">
              <a:solidFill>
                <a:schemeClr val="accent2"/>
              </a:solidFill>
              <a:round/>
            </a:ln>
            <a:effectLst/>
          </c:spPr>
          <c:marker>
            <c:symbol val="none"/>
          </c:marker>
          <c:cat>
            <c:strRef>
              <c:f>'Pivot 6'!$A$5:$A$10</c:f>
              <c:strCache>
                <c:ptCount val="6"/>
                <c:pt idx="0">
                  <c:v>Less than 80</c:v>
                </c:pt>
                <c:pt idx="1">
                  <c:v>80-89</c:v>
                </c:pt>
                <c:pt idx="2">
                  <c:v>90-99</c:v>
                </c:pt>
                <c:pt idx="3">
                  <c:v>100-109</c:v>
                </c:pt>
                <c:pt idx="4">
                  <c:v>110-119</c:v>
                </c:pt>
                <c:pt idx="5">
                  <c:v>120 and up</c:v>
                </c:pt>
              </c:strCache>
            </c:strRef>
          </c:cat>
          <c:val>
            <c:numRef>
              <c:f>'Pivot 6'!$C$5:$C$10</c:f>
              <c:numCache>
                <c:formatCode>0</c:formatCode>
                <c:ptCount val="6"/>
                <c:pt idx="0">
                  <c:v>43.75</c:v>
                </c:pt>
                <c:pt idx="1">
                  <c:v>42.375</c:v>
                </c:pt>
                <c:pt idx="2">
                  <c:v>43.744897959183675</c:v>
                </c:pt>
                <c:pt idx="3">
                  <c:v>39.402010050251256</c:v>
                </c:pt>
                <c:pt idx="4">
                  <c:v>40.636627906976742</c:v>
                </c:pt>
                <c:pt idx="5">
                  <c:v>39.490909090909092</c:v>
                </c:pt>
              </c:numCache>
            </c:numRef>
          </c:val>
          <c:smooth val="0"/>
          <c:extLst>
            <c:ext xmlns:c16="http://schemas.microsoft.com/office/drawing/2014/chart" uri="{C3380CC4-5D6E-409C-BE32-E72D297353CC}">
              <c16:uniqueId val="{00000001-39FA-A145-81B2-0F12DF5F791A}"/>
            </c:ext>
          </c:extLst>
        </c:ser>
        <c:dLbls>
          <c:showLegendKey val="0"/>
          <c:showVal val="0"/>
          <c:showCatName val="0"/>
          <c:showSerName val="0"/>
          <c:showPercent val="0"/>
          <c:showBubbleSize val="0"/>
        </c:dLbls>
        <c:smooth val="0"/>
        <c:axId val="1282571024"/>
        <c:axId val="1301480016"/>
      </c:lineChart>
      <c:catAx>
        <c:axId val="12825710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IQ</a:t>
                </a:r>
                <a:r>
                  <a:rPr lang="en-US" b="1" baseline="0">
                    <a:solidFill>
                      <a:schemeClr val="tx1"/>
                    </a:solidFill>
                  </a:rPr>
                  <a:t> Score Ranges</a:t>
                </a:r>
              </a:p>
            </c:rich>
          </c:tx>
          <c:layout>
            <c:manualLayout>
              <c:xMode val="edge"/>
              <c:yMode val="edge"/>
              <c:x val="0.36647129960498909"/>
              <c:y val="0.92759360984811801"/>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1480016"/>
        <c:crosses val="autoZero"/>
        <c:auto val="1"/>
        <c:lblAlgn val="ctr"/>
        <c:lblOffset val="100"/>
        <c:noMultiLvlLbl val="0"/>
      </c:catAx>
      <c:valAx>
        <c:axId val="130148001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Average</a:t>
                </a:r>
                <a:r>
                  <a:rPr lang="en-US" b="1" baseline="0">
                    <a:solidFill>
                      <a:schemeClr val="tx1"/>
                    </a:solidFill>
                  </a:rPr>
                  <a:t> Hours worked per week</a:t>
                </a:r>
                <a:endParaRPr lang="en-US" b="1">
                  <a:solidFill>
                    <a:schemeClr val="tx1"/>
                  </a:solidFill>
                </a:endParaRPr>
              </a:p>
            </c:rich>
          </c:tx>
          <c:layout>
            <c:manualLayout>
              <c:xMode val="edge"/>
              <c:yMode val="edge"/>
              <c:x val="1.3777267508610792E-2"/>
              <c:y val="0.2764119762807427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571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[Darrus, Rishi QM 222 Data Project A.xlsx]New 8!PivotTable1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solidFill>
                  <a:sysClr val="windowText" lastClr="000000"/>
                </a:solidFill>
              </a:rPr>
              <a:t>Average Earnings by Region</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'New 8'!$B$3:$B$4</c:f>
              <c:strCache>
                <c:ptCount val="1"/>
                <c:pt idx="0">
                  <c:v>Non-graduates</c:v>
                </c:pt>
              </c:strCache>
            </c:strRef>
          </c:tx>
          <c:spPr>
            <a:solidFill>
              <a:schemeClr val="accent1"/>
            </a:solidFill>
            <a:ln>
              <a:noFill/>
            </a:ln>
            <a:effectLst/>
          </c:spPr>
          <c:invertIfNegative val="0"/>
          <c:dLbls>
            <c:delete val="1"/>
          </c:dLbls>
          <c:cat>
            <c:strRef>
              <c:f>'New 8'!$A$5:$A$8</c:f>
              <c:strCache>
                <c:ptCount val="4"/>
                <c:pt idx="0">
                  <c:v>North Central</c:v>
                </c:pt>
                <c:pt idx="1">
                  <c:v>Northeast</c:v>
                </c:pt>
                <c:pt idx="2">
                  <c:v>South</c:v>
                </c:pt>
                <c:pt idx="3">
                  <c:v>West</c:v>
                </c:pt>
              </c:strCache>
            </c:strRef>
          </c:cat>
          <c:val>
            <c:numRef>
              <c:f>'New 8'!$B$5:$B$8</c:f>
              <c:numCache>
                <c:formatCode>"$"#,##0</c:formatCode>
                <c:ptCount val="4"/>
                <c:pt idx="0">
                  <c:v>29347.456140350878</c:v>
                </c:pt>
                <c:pt idx="1">
                  <c:v>36472.290827740493</c:v>
                </c:pt>
                <c:pt idx="2">
                  <c:v>30967.891866913124</c:v>
                </c:pt>
                <c:pt idx="3">
                  <c:v>33750.462890625</c:v>
                </c:pt>
              </c:numCache>
            </c:numRef>
          </c:val>
          <c:extLst>
            <c:ext xmlns:c16="http://schemas.microsoft.com/office/drawing/2014/chart" uri="{C3380CC4-5D6E-409C-BE32-E72D297353CC}">
              <c16:uniqueId val="{00000000-2AEC-DC40-9344-98D13BAF8064}"/>
            </c:ext>
          </c:extLst>
        </c:ser>
        <c:ser>
          <c:idx val="1"/>
          <c:order val="1"/>
          <c:tx>
            <c:strRef>
              <c:f>'New 8'!$C$3:$C$4</c:f>
              <c:strCache>
                <c:ptCount val="1"/>
                <c:pt idx="0">
                  <c:v>Graduates</c:v>
                </c:pt>
              </c:strCache>
            </c:strRef>
          </c:tx>
          <c:spPr>
            <a:solidFill>
              <a:schemeClr val="accent2"/>
            </a:solidFill>
            <a:ln>
              <a:noFill/>
            </a:ln>
            <a:effectLst/>
          </c:spPr>
          <c:invertIfNegative val="0"/>
          <c:dLbls>
            <c:delete val="1"/>
          </c:dLbls>
          <c:cat>
            <c:strRef>
              <c:f>'New 8'!$A$5:$A$8</c:f>
              <c:strCache>
                <c:ptCount val="4"/>
                <c:pt idx="0">
                  <c:v>North Central</c:v>
                </c:pt>
                <c:pt idx="1">
                  <c:v>Northeast</c:v>
                </c:pt>
                <c:pt idx="2">
                  <c:v>South</c:v>
                </c:pt>
                <c:pt idx="3">
                  <c:v>West</c:v>
                </c:pt>
              </c:strCache>
            </c:strRef>
          </c:cat>
          <c:val>
            <c:numRef>
              <c:f>'New 8'!$C$5:$C$8</c:f>
              <c:numCache>
                <c:formatCode>"$"#,##0</c:formatCode>
                <c:ptCount val="4"/>
                <c:pt idx="0">
                  <c:v>78309.258503401361</c:v>
                </c:pt>
                <c:pt idx="1">
                  <c:v>93198.942857142858</c:v>
                </c:pt>
                <c:pt idx="2">
                  <c:v>76734.056756756763</c:v>
                </c:pt>
                <c:pt idx="3">
                  <c:v>75563.529411764699</c:v>
                </c:pt>
              </c:numCache>
            </c:numRef>
          </c:val>
          <c:extLst>
            <c:ext xmlns:c16="http://schemas.microsoft.com/office/drawing/2014/chart" uri="{C3380CC4-5D6E-409C-BE32-E72D297353CC}">
              <c16:uniqueId val="{00000001-2AEC-DC40-9344-98D13BAF8064}"/>
            </c:ext>
          </c:extLst>
        </c:ser>
        <c:dLbls>
          <c:dLblPos val="outEnd"/>
          <c:showLegendKey val="0"/>
          <c:showVal val="1"/>
          <c:showCatName val="0"/>
          <c:showSerName val="0"/>
          <c:showPercent val="0"/>
          <c:showBubbleSize val="0"/>
        </c:dLbls>
        <c:gapWidth val="219"/>
        <c:overlap val="-27"/>
        <c:axId val="2017301599"/>
        <c:axId val="2017303231"/>
      </c:barChart>
      <c:catAx>
        <c:axId val="201730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Region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303231"/>
        <c:crosses val="autoZero"/>
        <c:auto val="1"/>
        <c:lblAlgn val="ctr"/>
        <c:lblOffset val="100"/>
        <c:noMultiLvlLbl val="0"/>
      </c:catAx>
      <c:valAx>
        <c:axId val="2017303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Average Earnings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3015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06EC4-4565-9241-AD4E-36997CDD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4164</Words>
  <Characters>23738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Steinbuch, Pearl</dc:creator>
  <cp:lastModifiedBy>Bhattacharya, Rishi</cp:lastModifiedBy>
  <cp:revision>51</cp:revision>
  <cp:lastPrinted>2019-11-20T02:38:00Z</cp:lastPrinted>
  <dcterms:created xsi:type="dcterms:W3CDTF">2019-11-19T19:54:00Z</dcterms:created>
  <dcterms:modified xsi:type="dcterms:W3CDTF">2019-11-20T02:39:00Z</dcterms:modified>
</cp:coreProperties>
</file>