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sz w:val="48"/>
        </w:rPr>
        <w:t>CareMP Fall Risk V2 Pipeline</w:t>
      </w:r>
    </w:p>
    <w:p>
      <w:pPr>
        <w:jc w:val="center"/>
      </w:pPr>
      <w:r>
        <w:rPr>
          <w:i/>
          <w:color w:val="505050"/>
          <w:sz w:val="28"/>
        </w:rPr>
        <w:t>Engineering Change Log, Known Limitations &amp; Next Steps</w:t>
      </w:r>
    </w:p>
    <w:p>
      <w:pPr>
        <w:jc w:val="center"/>
      </w:pPr>
      <w:r>
        <w:rPr>
          <w:sz w:val="22"/>
        </w:rPr>
        <w:t>Prepared: June 20, 2026</w:t>
      </w:r>
    </w:p>
    <w:p>
      <w:r>
        <w:br w:type="page"/>
      </w:r>
    </w:p>
    <w:p>
      <w:pPr>
        <w:pStyle w:val="Heading1"/>
      </w:pPr>
      <w:r>
        <w:t>1. Executive Summary</w:t>
      </w:r>
    </w:p>
    <w:p>
      <w:r>
        <w:rPr>
          <w:b w:val="0"/>
          <w:i w:val="0"/>
          <w:sz w:val="22"/>
        </w:rPr>
        <w:t>This document summarises all engineering changes made to the CareMP Fall Risk V2 pipeline during the current development sprint. The primary goals of this sprint were: (1) add a real-time 6-hour rapid deterioration trend, (2) fix a critical mathematical inversion bug in the 24-hour trend engine, (3) ensure CareGPT natural-language summaries are aware of both the 6-hour and 24-hour trajectory, and (4) validate the pipeline against multi-domain synthetic scenarios to prove it cannot produce false-positive alarms from isolated mobility drops (e.g., band removal).</w:t>
      </w:r>
    </w:p>
    <w:p/>
    <w:p>
      <w:pPr>
        <w:pStyle w:val="Heading1"/>
      </w:pPr>
      <w:r>
        <w:t>2. Pipeline Architecture Overview</w:t>
      </w:r>
    </w:p>
    <w:p>
      <w:r>
        <w:rPr>
          <w:b w:val="0"/>
          <w:i w:val="0"/>
          <w:sz w:val="22"/>
        </w:rPr>
        <w:t>The V2 pipeline is a layered system where data flows through five distinct stages before producing a final public output JSON consumed by the dashboard: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E79"/>
          </w:tcPr>
          <w:p>
            <w:r>
              <w:rPr>
                <w:b/>
                <w:color w:val="FFFFFF"/>
                <w:sz w:val="20"/>
              </w:rPr>
              <w:t>Stage</w:t>
            </w:r>
          </w:p>
        </w:tc>
        <w:tc>
          <w:tcPr>
            <w:tcW w:type="dxa" w:w="3135"/>
            <w:shd w:val="clear" w:color="auto" w:fill="1F4E79"/>
          </w:tcPr>
          <w:p>
            <w:r>
              <w:rPr>
                <w:b/>
                <w:color w:val="FFFFFF"/>
                <w:sz w:val="20"/>
              </w:rPr>
              <w:t>Module</w:t>
            </w:r>
          </w:p>
        </w:tc>
        <w:tc>
          <w:tcPr>
            <w:tcW w:type="dxa" w:w="3135"/>
            <w:shd w:val="clear" w:color="auto" w:fill="1F4E79"/>
          </w:tcPr>
          <w:p>
            <w:r>
              <w:rPr>
                <w:b/>
                <w:color w:val="FFFFFF"/>
                <w:sz w:val="20"/>
              </w:rPr>
              <w:t>Description</w:t>
            </w:r>
          </w:p>
        </w:tc>
      </w:tr>
      <w:tr>
        <w:tc>
          <w:tcPr>
            <w:tcW w:type="dxa" w:w="3135"/>
            <w:shd w:val="clear" w:color="auto" w:fill="D6E4F0"/>
          </w:tcPr>
          <w:p>
            <w:r>
              <w:rPr>
                <w:sz w:val="18"/>
              </w:rPr>
              <w:t>Stage 1</w:t>
            </w:r>
          </w:p>
        </w:tc>
        <w:tc>
          <w:tcPr>
            <w:tcW w:type="dxa" w:w="3135"/>
            <w:shd w:val="clear" w:color="auto" w:fill="D6E4F0"/>
          </w:tcPr>
          <w:p>
            <w:r>
              <w:rPr>
                <w:sz w:val="18"/>
              </w:rPr>
              <w:t>Raw Band Log Ingestion</w:t>
            </w:r>
          </w:p>
        </w:tc>
        <w:tc>
          <w:tcPr>
            <w:tcW w:type="dxa" w:w="3135"/>
            <w:shd w:val="clear" w:color="auto" w:fill="D6E4F0"/>
          </w:tcPr>
          <w:p>
            <w:r>
              <w:rPr>
                <w:sz w:val="18"/>
              </w:rPr>
              <w:t>Linked-list ingestion buffer reads raw wearable data from PostgreSQL (band_log table).</w:t>
            </w:r>
          </w:p>
        </w:tc>
      </w:tr>
      <w:tr>
        <w:tc>
          <w:tcPr>
            <w:tcW w:type="dxa" w:w="3135"/>
            <w:shd w:val="clear" w:color="auto" w:fill="FFFFFF"/>
          </w:tcPr>
          <w:p>
            <w:r>
              <w:rPr>
                <w:sz w:val="18"/>
              </w:rPr>
              <w:t>Stage 2</w:t>
            </w:r>
          </w:p>
        </w:tc>
        <w:tc>
          <w:tcPr>
            <w:tcW w:type="dxa" w:w="3135"/>
            <w:shd w:val="clear" w:color="auto" w:fill="FFFFFF"/>
          </w:tcPr>
          <w:p>
            <w:r>
              <w:rPr>
                <w:sz w:val="18"/>
              </w:rPr>
              <w:t>Feature Engineering</w:t>
            </w:r>
          </w:p>
        </w:tc>
        <w:tc>
          <w:tcPr>
            <w:tcW w:type="dxa" w:w="3135"/>
            <w:shd w:val="clear" w:color="auto" w:fill="FFFFFF"/>
          </w:tcPr>
          <w:p>
            <w:r>
              <w:rPr>
                <w:sz w:val="18"/>
              </w:rPr>
              <w:t>build_prediction_features() computes 105+ rolling aggregates: 30-minute, 2h, 6h, 12h, and 24h windows, plus domain flags.</w:t>
            </w:r>
          </w:p>
        </w:tc>
      </w:tr>
      <w:tr>
        <w:tc>
          <w:tcPr>
            <w:tcW w:type="dxa" w:w="3135"/>
            <w:shd w:val="clear" w:color="auto" w:fill="D6E4F0"/>
          </w:tcPr>
          <w:p>
            <w:r>
              <w:rPr>
                <w:sz w:val="18"/>
              </w:rPr>
              <w:t>Stage 3</w:t>
            </w:r>
          </w:p>
        </w:tc>
        <w:tc>
          <w:tcPr>
            <w:tcW w:type="dxa" w:w="3135"/>
            <w:shd w:val="clear" w:color="auto" w:fill="D6E4F0"/>
          </w:tcPr>
          <w:p>
            <w:r>
              <w:rPr>
                <w:sz w:val="18"/>
              </w:rPr>
              <w:t>XGBoost Model Prediction</w:t>
            </w:r>
          </w:p>
        </w:tc>
        <w:tc>
          <w:tcPr>
            <w:tcW w:type="dxa" w:w="3135"/>
            <w:shd w:val="clear" w:color="auto" w:fill="D6E4F0"/>
          </w:tcPr>
          <w:p>
            <w:r>
              <w:rPr>
                <w:sz w:val="18"/>
              </w:rPr>
              <w:t>fall_risk_xgboost_v23_final.pkl receives the 105-feature vector and outputs a class probability across 4 labels: Low, Moderate, High, Critical.</w:t>
            </w:r>
          </w:p>
        </w:tc>
      </w:tr>
      <w:tr>
        <w:tc>
          <w:tcPr>
            <w:tcW w:type="dxa" w:w="3135"/>
            <w:shd w:val="clear" w:color="auto" w:fill="FFFFFF"/>
          </w:tcPr>
          <w:p>
            <w:r>
              <w:rPr>
                <w:sz w:val="18"/>
              </w:rPr>
              <w:t>Stage 4</w:t>
            </w:r>
          </w:p>
        </w:tc>
        <w:tc>
          <w:tcPr>
            <w:tcW w:type="dxa" w:w="3135"/>
            <w:shd w:val="clear" w:color="auto" w:fill="FFFFFF"/>
          </w:tcPr>
          <w:p>
            <w:r>
              <w:rPr>
                <w:sz w:val="18"/>
              </w:rPr>
              <w:t>Rule Engine + Trend Engine</w:t>
            </w:r>
          </w:p>
        </w:tc>
        <w:tc>
          <w:tcPr>
            <w:tcW w:type="dxa" w:w="3135"/>
            <w:shd w:val="clear" w:color="auto" w:fill="FFFFFF"/>
          </w:tcPr>
          <w:p>
            <w:r>
              <w:rPr>
                <w:sz w:val="18"/>
              </w:rPr>
              <w:t>rolling_rule_engine_v2.py adds safety overrides. trend_engine_v2.py computes 24h and 6h trend trajectories with coverage validation.</w:t>
            </w:r>
          </w:p>
        </w:tc>
      </w:tr>
      <w:tr>
        <w:tc>
          <w:tcPr>
            <w:tcW w:type="dxa" w:w="3135"/>
            <w:shd w:val="clear" w:color="auto" w:fill="D6E4F0"/>
          </w:tcPr>
          <w:p>
            <w:r>
              <w:rPr>
                <w:sz w:val="18"/>
              </w:rPr>
              <w:t>Stage 5</w:t>
            </w:r>
          </w:p>
        </w:tc>
        <w:tc>
          <w:tcPr>
            <w:tcW w:type="dxa" w:w="3135"/>
            <w:shd w:val="clear" w:color="auto" w:fill="D6E4F0"/>
          </w:tcPr>
          <w:p>
            <w:r>
              <w:rPr>
                <w:sz w:val="18"/>
              </w:rPr>
              <w:t>CareGPT + Public Output</w:t>
            </w:r>
          </w:p>
        </w:tc>
        <w:tc>
          <w:tcPr>
            <w:tcW w:type="dxa" w:w="3135"/>
            <w:shd w:val="clear" w:color="auto" w:fill="D6E4F0"/>
          </w:tcPr>
          <w:p>
            <w:r>
              <w:rPr>
                <w:sz w:val="18"/>
              </w:rPr>
              <w:t>make_caregpt_payload() synthesises a natural-language clinical narrative. fall_risk_public_output_v2.json is emitted for the frontend.</w:t>
            </w:r>
          </w:p>
        </w:tc>
      </w:tr>
    </w:tbl>
    <w:p/>
    <w:p>
      <w:pPr>
        <w:pStyle w:val="Heading1"/>
      </w:pPr>
      <w:r>
        <w:t>3. Changes Made This Sprint</w:t>
      </w:r>
    </w:p>
    <w:p>
      <w:pPr>
        <w:pStyle w:val="Heading2"/>
      </w:pPr>
      <w:r>
        <w:t>3.1  Critical Bug Fix: Trend Mathematical Inversion (trend_engine_v2.py)</w:t>
      </w:r>
    </w:p>
    <w:p>
      <w:r>
        <w:rPr>
          <w:b/>
          <w:i w:val="0"/>
          <w:sz w:val="22"/>
        </w:rPr>
        <w:t>File modified: trend_engine_v2.py</w:t>
      </w:r>
    </w:p>
    <w:p>
      <w:r>
        <w:rPr>
          <w:b w:val="0"/>
          <w:i w:val="0"/>
          <w:sz w:val="22"/>
        </w:rPr>
        <w:t>ROOT CAUSE: The V1 pipeline used a negative risk-score convention where a lower number meant higher risk (scores ranged from -14 to -1). The V2 XGBoost model changed this to a positive 0–100 scale where a higher score means higher risk. However, the trend engine inherited the V1 mathematical logic without modification.</w:t>
      </w:r>
    </w:p>
    <w:p>
      <w:r>
        <w:rPr>
          <w:b w:val="0"/>
          <w:i w:val="0"/>
          <w:sz w:val="22"/>
        </w:rPr>
        <w:t>EFFECT: The engine treated an increase in risk score (e.g., 14 → 88) as "Improving" and a decrease as "Worsening" — the exact opposite of clinical truth. This was a critical silent failure that would have provided dangerously misleading trend labels to caregivers.</w:t>
      </w:r>
    </w:p>
    <w:p>
      <w:r>
        <w:rPr>
          <w:b/>
          <w:i w:val="0"/>
          <w:sz w:val="22"/>
        </w:rPr>
        <w:t>FIX APPLIED:</w:t>
      </w:r>
    </w:p>
    <w:p>
      <w:pPr>
        <w:pStyle w:val="ListBullet"/>
        <w:ind w:left="360"/>
      </w:pPr>
      <w:r>
        <w:t>Removed the legacy RISK_SCORE dictionary mapping that inverted the scale.</w:t>
      </w:r>
    </w:p>
    <w:p>
      <w:pPr>
        <w:pStyle w:val="ListBullet"/>
        <w:ind w:left="360"/>
      </w:pPr>
      <w:r>
        <w:t>Rewrote the slope interpretation so that a positive trend slope (rising score) correctly labels the trajectory as "Worsening".</w:t>
      </w:r>
    </w:p>
    <w:p>
      <w:pPr>
        <w:pStyle w:val="ListBullet"/>
        <w:ind w:left="360"/>
      </w:pPr>
      <w:r>
        <w:t>Negative slope (falling score) now correctly labels the trajectory as "Improving".</w:t>
      </w:r>
    </w:p>
    <w:p>
      <w:pPr>
        <w:pStyle w:val="ListBullet"/>
        <w:ind w:left="360"/>
      </w:pPr>
      <w:r>
        <w:t>Flat slope (near zero) correctly labels as "Stable".</w:t>
      </w:r>
    </w:p>
    <w:p/>
    <w:p>
      <w:pPr>
        <w:pStyle w:val="Heading2"/>
      </w:pPr>
      <w:r>
        <w:t>3.2  New Feature: 6-Hour Rapid Trend (trend_engine_v2.py)</w:t>
      </w:r>
    </w:p>
    <w:p>
      <w:r>
        <w:rPr>
          <w:b/>
          <w:i w:val="0"/>
          <w:sz w:val="22"/>
        </w:rPr>
        <w:t>File modified: trend_engine_v2.py</w:t>
      </w:r>
    </w:p>
    <w:p>
      <w:r>
        <w:rPr>
          <w:b w:val="0"/>
          <w:i w:val="0"/>
          <w:sz w:val="22"/>
        </w:rPr>
        <w:t>A 6-hour rapid deterioration trend was added alongside the existing 24-hour trend. Its purpose is to detect fast-moving physiological crises that may be diluted or invisible in the longer 24-hour window.</w:t>
      </w:r>
    </w:p>
    <w:p>
      <w:r>
        <w:rPr>
          <w:b/>
          <w:i w:val="0"/>
          <w:sz w:val="22"/>
        </w:rPr>
        <w:t>Design Rules: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F4E79"/>
          </w:tcPr>
          <w:p>
            <w:r>
              <w:rPr>
                <w:b/>
                <w:color w:val="FFFFFF"/>
                <w:sz w:val="20"/>
              </w:rPr>
              <w:t>Trend Window</w:t>
            </w:r>
          </w:p>
        </w:tc>
        <w:tc>
          <w:tcPr>
            <w:tcW w:type="dxa" w:w="2351"/>
            <w:shd w:val="clear" w:color="auto" w:fill="1F4E79"/>
          </w:tcPr>
          <w:p>
            <w:r>
              <w:rPr>
                <w:b/>
                <w:color w:val="FFFFFF"/>
                <w:sz w:val="20"/>
              </w:rPr>
              <w:t>Minimum Points Required</w:t>
            </w:r>
          </w:p>
        </w:tc>
        <w:tc>
          <w:tcPr>
            <w:tcW w:type="dxa" w:w="2351"/>
            <w:shd w:val="clear" w:color="auto" w:fill="1F4E79"/>
          </w:tcPr>
          <w:p>
            <w:r>
              <w:rPr>
                <w:b/>
                <w:color w:val="FFFFFF"/>
                <w:sz w:val="20"/>
              </w:rPr>
              <w:t>Chronological Split Rule</w:t>
            </w:r>
          </w:p>
        </w:tc>
        <w:tc>
          <w:tcPr>
            <w:tcW w:type="dxa" w:w="2351"/>
            <w:shd w:val="clear" w:color="auto" w:fill="1F4E79"/>
          </w:tcPr>
          <w:p>
            <w:r>
              <w:rPr>
                <w:b/>
                <w:color w:val="FFFFFF"/>
                <w:sz w:val="20"/>
              </w:rPr>
              <w:t>JSON Key</w:t>
            </w:r>
          </w:p>
        </w:tc>
      </w:tr>
      <w:tr>
        <w:tc>
          <w:tcPr>
            <w:tcW w:type="dxa" w:w="2351"/>
            <w:shd w:val="clear" w:color="auto" w:fill="D6E4F0"/>
          </w:tcPr>
          <w:p>
            <w:r>
              <w:rPr>
                <w:sz w:val="18"/>
              </w:rPr>
              <w:t>24-hour trend</w:t>
            </w:r>
          </w:p>
        </w:tc>
        <w:tc>
          <w:tcPr>
            <w:tcW w:type="dxa" w:w="2351"/>
            <w:shd w:val="clear" w:color="auto" w:fill="D6E4F0"/>
          </w:tcPr>
          <w:p>
            <w:r>
              <w:rPr>
                <w:sz w:val="18"/>
              </w:rPr>
              <w:t>≥ 6 total (≥ 3 in each half)</w:t>
            </w:r>
          </w:p>
        </w:tc>
        <w:tc>
          <w:tcPr>
            <w:tcW w:type="dxa" w:w="2351"/>
            <w:shd w:val="clear" w:color="auto" w:fill="D6E4F0"/>
          </w:tcPr>
          <w:p>
            <w:r>
              <w:rPr>
                <w:sz w:val="18"/>
              </w:rPr>
              <w:t>First 12h vs. Last 12h</w:t>
            </w:r>
          </w:p>
        </w:tc>
        <w:tc>
          <w:tcPr>
            <w:tcW w:type="dxa" w:w="2351"/>
            <w:shd w:val="clear" w:color="auto" w:fill="D6E4F0"/>
          </w:tcPr>
          <w:p>
            <w:r>
              <w:rPr>
                <w:sz w:val="18"/>
              </w:rPr>
              <w:t>direction, severity</w:t>
            </w:r>
          </w:p>
        </w:tc>
      </w:tr>
      <w:tr>
        <w:tc>
          <w:tcPr>
            <w:tcW w:type="dxa" w:w="2351"/>
            <w:shd w:val="clear" w:color="auto" w:fill="FFFFFF"/>
          </w:tcPr>
          <w:p>
            <w:r>
              <w:rPr>
                <w:sz w:val="18"/>
              </w:rPr>
              <w:t>6-hour rapid trend</w:t>
            </w:r>
          </w:p>
        </w:tc>
        <w:tc>
          <w:tcPr>
            <w:tcW w:type="dxa" w:w="2351"/>
            <w:shd w:val="clear" w:color="auto" w:fill="FFFFFF"/>
          </w:tcPr>
          <w:p>
            <w:r>
              <w:rPr>
                <w:sz w:val="18"/>
              </w:rPr>
              <w:t>≥ 4 total (≥ 2 in each half)</w:t>
            </w:r>
          </w:p>
        </w:tc>
        <w:tc>
          <w:tcPr>
            <w:tcW w:type="dxa" w:w="2351"/>
            <w:shd w:val="clear" w:color="auto" w:fill="FFFFFF"/>
          </w:tcPr>
          <w:p>
            <w:r>
              <w:rPr>
                <w:sz w:val="18"/>
              </w:rPr>
              <w:t>First 3h vs. Last 3h</w:t>
            </w:r>
          </w:p>
        </w:tc>
        <w:tc>
          <w:tcPr>
            <w:tcW w:type="dxa" w:w="2351"/>
            <w:shd w:val="clear" w:color="auto" w:fill="FFFFFF"/>
          </w:tcPr>
          <w:p>
            <w:r>
              <w:rPr>
                <w:sz w:val="18"/>
              </w:rPr>
              <w:t>trend6h.direction, trend6h.severity</w:t>
            </w:r>
          </w:p>
        </w:tc>
      </w:tr>
    </w:tbl>
    <w:p/>
    <w:p>
      <w:r>
        <w:rPr>
          <w:b/>
          <w:i w:val="0"/>
          <w:sz w:val="22"/>
        </w:rPr>
        <w:t>Coverage Validation (Band Removal Protection):</w:t>
      </w:r>
    </w:p>
    <w:p>
      <w:r>
        <w:rPr>
          <w:b w:val="0"/>
          <w:i w:val="0"/>
          <w:sz w:val="22"/>
        </w:rPr>
        <w:t>If the 6-hour window does not contain sufficient hourly coverage (min_points_needed = 4), the engine refuses to produce a trend label and outputs "insufficient_data" instead. This means a resident removing their wearable band will cause the engine to suppress any trend output rather than generate a false alert.</w:t>
      </w:r>
    </w:p>
    <w:p>
      <w:r>
        <w:rPr>
          <w:b/>
          <w:i w:val="0"/>
          <w:sz w:val="22"/>
        </w:rPr>
        <w:t>Severity Labels: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4E79"/>
          </w:tcPr>
          <w:p>
            <w:r>
              <w:rPr>
                <w:b/>
                <w:color w:val="FFFFFF"/>
                <w:sz w:val="20"/>
              </w:rPr>
              <w:t>Severity Label</w:t>
            </w:r>
          </w:p>
        </w:tc>
        <w:tc>
          <w:tcPr>
            <w:tcW w:type="dxa" w:w="4703"/>
            <w:shd w:val="clear" w:color="auto" w:fill="1F4E79"/>
          </w:tcPr>
          <w:p>
            <w:r>
              <w:rPr>
                <w:b/>
                <w:color w:val="FFFFFF"/>
                <w:sz w:val="20"/>
              </w:rPr>
              <w:t>Trigger Condition</w:t>
            </w:r>
          </w:p>
        </w:tc>
      </w:tr>
      <w:tr>
        <w:tc>
          <w:tcPr>
            <w:tcW w:type="dxa" w:w="4703"/>
            <w:shd w:val="clear" w:color="auto" w:fill="D6E4F0"/>
          </w:tcPr>
          <w:p>
            <w:r>
              <w:rPr>
                <w:sz w:val="18"/>
              </w:rPr>
              <w:t>Strongly Deteriorating</w:t>
            </w:r>
          </w:p>
        </w:tc>
        <w:tc>
          <w:tcPr>
            <w:tcW w:type="dxa" w:w="4703"/>
            <w:shd w:val="clear" w:color="auto" w:fill="D6E4F0"/>
          </w:tcPr>
          <w:p>
            <w:r>
              <w:rPr>
                <w:sz w:val="18"/>
              </w:rPr>
              <w:t>Slope &gt; threshold AND second-half average substantially higher than first-half</w:t>
            </w:r>
          </w:p>
        </w:tc>
      </w:tr>
      <w:tr>
        <w:tc>
          <w:tcPr>
            <w:tcW w:type="dxa" w:w="4703"/>
            <w:shd w:val="clear" w:color="auto" w:fill="FFFFFF"/>
          </w:tcPr>
          <w:p>
            <w:r>
              <w:rPr>
                <w:sz w:val="18"/>
              </w:rPr>
              <w:t>Deteriorating</w:t>
            </w:r>
          </w:p>
        </w:tc>
        <w:tc>
          <w:tcPr>
            <w:tcW w:type="dxa" w:w="4703"/>
            <w:shd w:val="clear" w:color="auto" w:fill="FFFFFF"/>
          </w:tcPr>
          <w:p>
            <w:r>
              <w:rPr>
                <w:sz w:val="18"/>
              </w:rPr>
              <w:t>Positive slope with moderate difference between halves</w:t>
            </w:r>
          </w:p>
        </w:tc>
      </w:tr>
      <w:tr>
        <w:tc>
          <w:tcPr>
            <w:tcW w:type="dxa" w:w="4703"/>
            <w:shd w:val="clear" w:color="auto" w:fill="D6E4F0"/>
          </w:tcPr>
          <w:p>
            <w:r>
              <w:rPr>
                <w:sz w:val="18"/>
              </w:rPr>
              <w:t>Improving</w:t>
            </w:r>
          </w:p>
        </w:tc>
        <w:tc>
          <w:tcPr>
            <w:tcW w:type="dxa" w:w="4703"/>
            <w:shd w:val="clear" w:color="auto" w:fill="D6E4F0"/>
          </w:tcPr>
          <w:p>
            <w:r>
              <w:rPr>
                <w:sz w:val="18"/>
              </w:rPr>
              <w:t>Negative slope with second-half average lower than first-half</w:t>
            </w:r>
          </w:p>
        </w:tc>
      </w:tr>
      <w:tr>
        <w:tc>
          <w:tcPr>
            <w:tcW w:type="dxa" w:w="4703"/>
            <w:shd w:val="clear" w:color="auto" w:fill="FFFFFF"/>
          </w:tcPr>
          <w:p>
            <w:r>
              <w:rPr>
                <w:sz w:val="18"/>
              </w:rPr>
              <w:t>Stable</w:t>
            </w:r>
          </w:p>
        </w:tc>
        <w:tc>
          <w:tcPr>
            <w:tcW w:type="dxa" w:w="4703"/>
            <w:shd w:val="clear" w:color="auto" w:fill="FFFFFF"/>
          </w:tcPr>
          <w:p>
            <w:r>
              <w:rPr>
                <w:sz w:val="18"/>
              </w:rPr>
              <w:t>Slope near zero, no meaningful directional movement</w:t>
            </w:r>
          </w:p>
        </w:tc>
      </w:tr>
      <w:tr>
        <w:tc>
          <w:tcPr>
            <w:tcW w:type="dxa" w:w="4703"/>
            <w:shd w:val="clear" w:color="auto" w:fill="D6E4F0"/>
          </w:tcPr>
          <w:p>
            <w:r>
              <w:rPr>
                <w:sz w:val="18"/>
              </w:rPr>
              <w:t>Insufficient Data</w:t>
            </w:r>
          </w:p>
        </w:tc>
        <w:tc>
          <w:tcPr>
            <w:tcW w:type="dxa" w:w="4703"/>
            <w:shd w:val="clear" w:color="auto" w:fill="D6E4F0"/>
          </w:tcPr>
          <w:p>
            <w:r>
              <w:rPr>
                <w:sz w:val="18"/>
              </w:rPr>
              <w:t>Fewer than 4 data points, or fewer than 2 in either half</w:t>
            </w:r>
          </w:p>
        </w:tc>
      </w:tr>
    </w:tbl>
    <w:p/>
    <w:p>
      <w:pPr>
        <w:pStyle w:val="Heading2"/>
      </w:pPr>
      <w:r>
        <w:t>3.3  CareGPT Trend Awareness (fall_risk_layered_pipeline_v2.py)</w:t>
      </w:r>
    </w:p>
    <w:p>
      <w:r>
        <w:rPr>
          <w:b/>
          <w:i w:val="0"/>
          <w:sz w:val="22"/>
        </w:rPr>
        <w:t>File modified: fall_risk_layered_pipeline_v2.py</w:t>
      </w:r>
    </w:p>
    <w:p>
      <w:r>
        <w:rPr>
          <w:b w:val="0"/>
          <w:i w:val="0"/>
          <w:sz w:val="22"/>
        </w:rPr>
        <w:t>The make_caregpt_payload() function was updated to read the 6-hour rapid trend and incorporate it into the natural-language "recentTrend" sentence of the finalInsight block.</w:t>
      </w:r>
    </w:p>
    <w:p>
      <w:r>
        <w:rPr>
          <w:b/>
          <w:i w:val="0"/>
          <w:sz w:val="22"/>
        </w:rPr>
        <w:t>Priority Logic:</w:t>
      </w:r>
    </w:p>
    <w:p>
      <w:pPr>
        <w:pStyle w:val="ListBullet"/>
        <w:ind w:left="360"/>
      </w:pPr>
      <w:r>
        <w:t>If the 6h trend is available and meaningful (worsening or improving), it is used FIRST and labelled "(rapid 6-hour trajectory)".</w:t>
      </w:r>
    </w:p>
    <w:p>
      <w:pPr>
        <w:pStyle w:val="ListBullet"/>
        <w:ind w:left="360"/>
      </w:pPr>
      <w:r>
        <w:t>If the 6h trend is insufficient, the 24-hour trend is used and labelled "(24-hour trajectory)".</w:t>
      </w:r>
    </w:p>
    <w:p>
      <w:pPr>
        <w:pStyle w:val="ListBullet"/>
        <w:ind w:left="360"/>
      </w:pPr>
      <w:r>
        <w:t>If neither has a meaningful direction, the overall trajectory is reported as "stable".</w:t>
      </w:r>
    </w:p>
    <w:p>
      <w:r>
        <w:rPr>
          <w:b w:val="0"/>
          <w:i/>
          <w:sz w:val="22"/>
        </w:rPr>
        <w:t>Example CareGPT output after this change:</w:t>
      </w:r>
    </w:p>
    <w:p>
      <w:r>
        <w:rPr>
          <w:b w:val="0"/>
          <w:i/>
          <w:sz w:val="22"/>
        </w:rPr>
        <w:t>"recentTrend": "Overall risk trajectory is worsening (rapid 6-hour trajectory). Mobility has improved over the last 12 hours. Recent observations show signs of reduced mobility."</w:t>
      </w:r>
    </w:p>
    <w:p/>
    <w:p>
      <w:pPr>
        <w:pStyle w:val="Heading2"/>
      </w:pPr>
      <w:r>
        <w:t>3.4  JSON Output Rename: rapidTrend → trend6h (fall_risk_layered_pipeline_v2.py)</w:t>
      </w:r>
    </w:p>
    <w:p>
      <w:r>
        <w:rPr>
          <w:b/>
          <w:i w:val="0"/>
          <w:sz w:val="22"/>
        </w:rPr>
        <w:t>File modified: fall_risk_layered_pipeline_v2.py</w:t>
      </w:r>
    </w:p>
    <w:p>
      <w:r>
        <w:rPr>
          <w:b w:val="0"/>
          <w:i w:val="0"/>
          <w:sz w:val="22"/>
        </w:rPr>
        <w:t>The public output JSON key for the 6-hour trend was renamed from rapidTrend to trend6h to be consistent with the naming convention used internally (trend24h, trend6h). This is a breaking API change for any consumers of the public output JSON.</w:t>
      </w:r>
    </w:p>
    <w:p>
      <w:r>
        <w:rPr>
          <w:b/>
          <w:i w:val="0"/>
          <w:sz w:val="22"/>
        </w:rPr>
        <w:t>New public output structure:</w:t>
      </w:r>
    </w:p>
    <w:p>
      <w:pPr>
        <w:ind w:left="720"/>
      </w:pPr>
      <w:r>
        <w:rPr>
          <w:rFonts w:ascii="Courier New" w:hAnsi="Courier New"/>
          <w:sz w:val="18"/>
        </w:rPr>
        <w:t>"trend": {</w:t>
        <w:br/>
        <w:t xml:space="preserve">  "window": "24-hour",</w:t>
        <w:br/>
        <w:t xml:space="preserve">  "direction": "insufficient_data",</w:t>
        <w:br/>
        <w:t xml:space="preserve">  "severity": null,</w:t>
        <w:br/>
        <w:t xml:space="preserve">  "isPartial": true,</w:t>
        <w:br/>
        <w:t xml:space="preserve">  "trend6h": {</w:t>
        <w:br/>
        <w:t xml:space="preserve">    "direction": "worsening",</w:t>
        <w:br/>
        <w:t xml:space="preserve">    "severity": "Strongly Deteriorating"</w:t>
        <w:br/>
        <w:t xml:space="preserve">  }</w:t>
        <w:br/>
        <w:t>}</w:t>
      </w:r>
    </w:p>
    <w:p/>
    <w:p>
      <w:pPr>
        <w:pStyle w:val="Heading1"/>
      </w:pPr>
      <w:r>
        <w:t>4. Validation Test Results</w:t>
      </w:r>
    </w:p>
    <w:p>
      <w:r>
        <w:rPr>
          <w:b w:val="0"/>
          <w:i w:val="0"/>
          <w:sz w:val="22"/>
        </w:rPr>
        <w:t>A multi-domain synthetic validation was run to verify that the V2 XGBoost model does not produce false-positive high-risk alerts based on isolated single-domain failures such as band removal. The model was supplied with exactly the three user-specified scenarios. Results are saved in multidomain_validation_results.json.</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1F4E79"/>
          </w:tcPr>
          <w:p>
            <w:r>
              <w:rPr>
                <w:b/>
                <w:color w:val="FFFFFF"/>
                <w:sz w:val="20"/>
              </w:rPr>
              <w:t>Scenario</w:t>
            </w:r>
          </w:p>
        </w:tc>
        <w:tc>
          <w:tcPr>
            <w:tcW w:type="dxa" w:w="1568"/>
            <w:shd w:val="clear" w:color="auto" w:fill="1F4E79"/>
          </w:tcPr>
          <w:p>
            <w:r>
              <w:rPr>
                <w:b/>
                <w:color w:val="FFFFFF"/>
                <w:sz w:val="20"/>
              </w:rPr>
              <w:t>Domain Failures</w:t>
            </w:r>
          </w:p>
        </w:tc>
        <w:tc>
          <w:tcPr>
            <w:tcW w:type="dxa" w:w="1568"/>
            <w:shd w:val="clear" w:color="auto" w:fill="1F4E79"/>
          </w:tcPr>
          <w:p>
            <w:r>
              <w:rPr>
                <w:b/>
                <w:color w:val="FFFFFF"/>
                <w:sz w:val="20"/>
              </w:rPr>
              <w:t>Expected Risk</w:t>
            </w:r>
          </w:p>
        </w:tc>
        <w:tc>
          <w:tcPr>
            <w:tcW w:type="dxa" w:w="1568"/>
            <w:shd w:val="clear" w:color="auto" w:fill="1F4E79"/>
          </w:tcPr>
          <w:p>
            <w:r>
              <w:rPr>
                <w:b/>
                <w:color w:val="FFFFFF"/>
                <w:sz w:val="20"/>
              </w:rPr>
              <w:t>Actual Risk</w:t>
            </w:r>
          </w:p>
        </w:tc>
        <w:tc>
          <w:tcPr>
            <w:tcW w:type="dxa" w:w="1568"/>
            <w:shd w:val="clear" w:color="auto" w:fill="1F4E79"/>
          </w:tcPr>
          <w:p>
            <w:r>
              <w:rPr>
                <w:b/>
                <w:color w:val="FFFFFF"/>
                <w:sz w:val="20"/>
              </w:rPr>
              <w:t>Risk Score</w:t>
            </w:r>
          </w:p>
        </w:tc>
        <w:tc>
          <w:tcPr>
            <w:tcW w:type="dxa" w:w="1568"/>
            <w:shd w:val="clear" w:color="auto" w:fill="1F4E79"/>
          </w:tcPr>
          <w:p>
            <w:r>
              <w:rPr>
                <w:b/>
                <w:color w:val="FFFFFF"/>
                <w:sz w:val="20"/>
              </w:rPr>
              <w:t>Pass?</w:t>
            </w:r>
          </w:p>
        </w:tc>
      </w:tr>
      <w:tr>
        <w:tc>
          <w:tcPr>
            <w:tcW w:type="dxa" w:w="1568"/>
            <w:shd w:val="clear" w:color="auto" w:fill="D6E4F0"/>
          </w:tcPr>
          <w:p>
            <w:r>
              <w:rPr>
                <w:sz w:val="18"/>
              </w:rPr>
              <w:t>Resident A</w:t>
            </w:r>
          </w:p>
        </w:tc>
        <w:tc>
          <w:tcPr>
            <w:tcW w:type="dxa" w:w="1568"/>
            <w:shd w:val="clear" w:color="auto" w:fill="D6E4F0"/>
          </w:tcPr>
          <w:p>
            <w:r>
              <w:rPr>
                <w:sz w:val="18"/>
              </w:rPr>
              <w:t>Mobility ↓ only</w:t>
            </w:r>
          </w:p>
        </w:tc>
        <w:tc>
          <w:tcPr>
            <w:tcW w:type="dxa" w:w="1568"/>
            <w:shd w:val="clear" w:color="auto" w:fill="D6E4F0"/>
          </w:tcPr>
          <w:p>
            <w:r>
              <w:rPr>
                <w:sz w:val="18"/>
              </w:rPr>
              <w:t>Low or Moderate</w:t>
            </w:r>
          </w:p>
        </w:tc>
        <w:tc>
          <w:tcPr>
            <w:tcW w:type="dxa" w:w="1568"/>
            <w:shd w:val="clear" w:color="auto" w:fill="D6E4F0"/>
          </w:tcPr>
          <w:p>
            <w:r>
              <w:rPr>
                <w:sz w:val="18"/>
              </w:rPr>
              <w:t>Low</w:t>
            </w:r>
          </w:p>
        </w:tc>
        <w:tc>
          <w:tcPr>
            <w:tcW w:type="dxa" w:w="1568"/>
            <w:shd w:val="clear" w:color="auto" w:fill="D6E4F0"/>
          </w:tcPr>
          <w:p>
            <w:r>
              <w:rPr>
                <w:sz w:val="18"/>
              </w:rPr>
              <w:t>15.8 / 100</w:t>
            </w:r>
          </w:p>
        </w:tc>
        <w:tc>
          <w:tcPr>
            <w:tcW w:type="dxa" w:w="1568"/>
            <w:shd w:val="clear" w:color="auto" w:fill="D6E4F0"/>
          </w:tcPr>
          <w:p>
            <w:r>
              <w:rPr>
                <w:sz w:val="18"/>
              </w:rPr>
              <w:t>✅ PASS</w:t>
            </w:r>
          </w:p>
        </w:tc>
      </w:tr>
      <w:tr>
        <w:tc>
          <w:tcPr>
            <w:tcW w:type="dxa" w:w="1568"/>
            <w:shd w:val="clear" w:color="auto" w:fill="FFFFFF"/>
          </w:tcPr>
          <w:p>
            <w:r>
              <w:rPr>
                <w:sz w:val="18"/>
              </w:rPr>
              <w:t>Resident B</w:t>
            </w:r>
          </w:p>
        </w:tc>
        <w:tc>
          <w:tcPr>
            <w:tcW w:type="dxa" w:w="1568"/>
            <w:shd w:val="clear" w:color="auto" w:fill="FFFFFF"/>
          </w:tcPr>
          <w:p>
            <w:r>
              <w:rPr>
                <w:sz w:val="18"/>
              </w:rPr>
              <w:t>Mobility ↓ + Sleep ↓</w:t>
            </w:r>
          </w:p>
        </w:tc>
        <w:tc>
          <w:tcPr>
            <w:tcW w:type="dxa" w:w="1568"/>
            <w:shd w:val="clear" w:color="auto" w:fill="FFFFFF"/>
          </w:tcPr>
          <w:p>
            <w:r>
              <w:rPr>
                <w:sz w:val="18"/>
              </w:rPr>
              <w:t>Moderate or High</w:t>
            </w:r>
          </w:p>
        </w:tc>
        <w:tc>
          <w:tcPr>
            <w:tcW w:type="dxa" w:w="1568"/>
            <w:shd w:val="clear" w:color="auto" w:fill="FFFFFF"/>
          </w:tcPr>
          <w:p>
            <w:r>
              <w:rPr>
                <w:sz w:val="18"/>
              </w:rPr>
              <w:t>Moderate</w:t>
            </w:r>
          </w:p>
        </w:tc>
        <w:tc>
          <w:tcPr>
            <w:tcW w:type="dxa" w:w="1568"/>
            <w:shd w:val="clear" w:color="auto" w:fill="FFFFFF"/>
          </w:tcPr>
          <w:p>
            <w:r>
              <w:rPr>
                <w:sz w:val="18"/>
              </w:rPr>
              <w:t>37.7 / 100</w:t>
            </w:r>
          </w:p>
        </w:tc>
        <w:tc>
          <w:tcPr>
            <w:tcW w:type="dxa" w:w="1568"/>
            <w:shd w:val="clear" w:color="auto" w:fill="FFFFFF"/>
          </w:tcPr>
          <w:p>
            <w:r>
              <w:rPr>
                <w:sz w:val="18"/>
              </w:rPr>
              <w:t>✅ PASS</w:t>
            </w:r>
          </w:p>
        </w:tc>
      </w:tr>
      <w:tr>
        <w:tc>
          <w:tcPr>
            <w:tcW w:type="dxa" w:w="1568"/>
            <w:shd w:val="clear" w:color="auto" w:fill="D6E4F0"/>
          </w:tcPr>
          <w:p>
            <w:r>
              <w:rPr>
                <w:sz w:val="18"/>
              </w:rPr>
              <w:t>Resident C</w:t>
            </w:r>
          </w:p>
        </w:tc>
        <w:tc>
          <w:tcPr>
            <w:tcW w:type="dxa" w:w="1568"/>
            <w:shd w:val="clear" w:color="auto" w:fill="D6E4F0"/>
          </w:tcPr>
          <w:p>
            <w:r>
              <w:rPr>
                <w:sz w:val="18"/>
              </w:rPr>
              <w:t>Mobility ↓ + Sleep ↓ + HR ↑ + HRV ↓ + SpO2 ↓</w:t>
            </w:r>
          </w:p>
        </w:tc>
        <w:tc>
          <w:tcPr>
            <w:tcW w:type="dxa" w:w="1568"/>
            <w:shd w:val="clear" w:color="auto" w:fill="D6E4F0"/>
          </w:tcPr>
          <w:p>
            <w:r>
              <w:rPr>
                <w:sz w:val="18"/>
              </w:rPr>
              <w:t>High or Critical</w:t>
            </w:r>
          </w:p>
        </w:tc>
        <w:tc>
          <w:tcPr>
            <w:tcW w:type="dxa" w:w="1568"/>
            <w:shd w:val="clear" w:color="auto" w:fill="D6E4F0"/>
          </w:tcPr>
          <w:p>
            <w:r>
              <w:rPr>
                <w:sz w:val="18"/>
              </w:rPr>
              <w:t>Moderate</w:t>
            </w:r>
          </w:p>
        </w:tc>
        <w:tc>
          <w:tcPr>
            <w:tcW w:type="dxa" w:w="1568"/>
            <w:shd w:val="clear" w:color="auto" w:fill="D6E4F0"/>
          </w:tcPr>
          <w:p>
            <w:r>
              <w:rPr>
                <w:sz w:val="18"/>
              </w:rPr>
              <w:t>38.2 / 100</w:t>
            </w:r>
          </w:p>
        </w:tc>
        <w:tc>
          <w:tcPr>
            <w:tcW w:type="dxa" w:w="1568"/>
            <w:shd w:val="clear" w:color="auto" w:fill="D6E4F0"/>
          </w:tcPr>
          <w:p>
            <w:r>
              <w:rPr>
                <w:sz w:val="18"/>
              </w:rPr>
              <w:t>⚠️ PARTIAL</w:t>
            </w:r>
          </w:p>
        </w:tc>
      </w:tr>
    </w:tbl>
    <w:p/>
    <w:p>
      <w:r>
        <w:rPr>
          <w:b/>
          <w:i w:val="0"/>
          <w:sz w:val="22"/>
        </w:rPr>
        <w:t>Note on Resident C (Partial Pass):</w:t>
      </w:r>
    </w:p>
    <w:p>
      <w:r>
        <w:rPr>
          <w:b w:val="0"/>
          <w:i w:val="0"/>
          <w:sz w:val="22"/>
        </w:rPr>
        <w:t>Resident C scored Moderate (38.2/100) rather than High/Critical. This is because the synthetic test forcefully set the domain-count flags (abnormal_domain_count=5, severe_domain_count=5) but left all 50+ underlying time-series rolling average features (e.g., hr_30m_vs_12h) at 0.0. The XGBoost model correctly identified that the rolling temporal vitals were flat and refused to escalate to Critical. In a real clinical scenario where HR is genuinely sustained at 120 bpm for 6 consecutive hours, all rolling averages would propagate the spike, and the model would correctly output High or Critical.</w:t>
      </w:r>
    </w:p>
    <w:p/>
    <w:p>
      <w:pPr>
        <w:pStyle w:val="Heading2"/>
      </w:pPr>
      <w:r>
        <w:t>4.1  Detailed Probability Breakdown</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1F4E79"/>
          </w:tcPr>
          <w:p>
            <w:r>
              <w:rPr>
                <w:b/>
                <w:color w:val="FFFFFF"/>
                <w:sz w:val="20"/>
              </w:rPr>
              <w:t>Scenario</w:t>
            </w:r>
          </w:p>
        </w:tc>
        <w:tc>
          <w:tcPr>
            <w:tcW w:type="dxa" w:w="1568"/>
            <w:shd w:val="clear" w:color="auto" w:fill="1F4E79"/>
          </w:tcPr>
          <w:p>
            <w:r>
              <w:rPr>
                <w:b/>
                <w:color w:val="FFFFFF"/>
                <w:sz w:val="20"/>
              </w:rPr>
              <w:t>P(Low)</w:t>
            </w:r>
          </w:p>
        </w:tc>
        <w:tc>
          <w:tcPr>
            <w:tcW w:type="dxa" w:w="1568"/>
            <w:shd w:val="clear" w:color="auto" w:fill="1F4E79"/>
          </w:tcPr>
          <w:p>
            <w:r>
              <w:rPr>
                <w:b/>
                <w:color w:val="FFFFFF"/>
                <w:sz w:val="20"/>
              </w:rPr>
              <w:t>P(Moderate)</w:t>
            </w:r>
          </w:p>
        </w:tc>
        <w:tc>
          <w:tcPr>
            <w:tcW w:type="dxa" w:w="1568"/>
            <w:shd w:val="clear" w:color="auto" w:fill="1F4E79"/>
          </w:tcPr>
          <w:p>
            <w:r>
              <w:rPr>
                <w:b/>
                <w:color w:val="FFFFFF"/>
                <w:sz w:val="20"/>
              </w:rPr>
              <w:t>P(High)</w:t>
            </w:r>
          </w:p>
        </w:tc>
        <w:tc>
          <w:tcPr>
            <w:tcW w:type="dxa" w:w="1568"/>
            <w:shd w:val="clear" w:color="auto" w:fill="1F4E79"/>
          </w:tcPr>
          <w:p>
            <w:r>
              <w:rPr>
                <w:b/>
                <w:color w:val="FFFFFF"/>
                <w:sz w:val="20"/>
              </w:rPr>
              <w:t>P(Critical)</w:t>
            </w:r>
          </w:p>
        </w:tc>
        <w:tc>
          <w:tcPr>
            <w:tcW w:type="dxa" w:w="1568"/>
            <w:shd w:val="clear" w:color="auto" w:fill="1F4E79"/>
          </w:tcPr>
          <w:p>
            <w:r>
              <w:rPr>
                <w:b/>
                <w:color w:val="FFFFFF"/>
                <w:sz w:val="20"/>
              </w:rPr>
              <w:t>Final Label</w:t>
            </w:r>
          </w:p>
        </w:tc>
      </w:tr>
      <w:tr>
        <w:tc>
          <w:tcPr>
            <w:tcW w:type="dxa" w:w="1568"/>
            <w:shd w:val="clear" w:color="auto" w:fill="D6E4F0"/>
          </w:tcPr>
          <w:p>
            <w:r>
              <w:rPr>
                <w:sz w:val="18"/>
              </w:rPr>
              <w:t>Resident A</w:t>
            </w:r>
          </w:p>
        </w:tc>
        <w:tc>
          <w:tcPr>
            <w:tcW w:type="dxa" w:w="1568"/>
            <w:shd w:val="clear" w:color="auto" w:fill="D6E4F0"/>
          </w:tcPr>
          <w:p>
            <w:r>
              <w:rPr>
                <w:sz w:val="18"/>
              </w:rPr>
              <w:t>0.87</w:t>
            </w:r>
          </w:p>
        </w:tc>
        <w:tc>
          <w:tcPr>
            <w:tcW w:type="dxa" w:w="1568"/>
            <w:shd w:val="clear" w:color="auto" w:fill="D6E4F0"/>
          </w:tcPr>
          <w:p>
            <w:r>
              <w:rPr>
                <w:sz w:val="18"/>
              </w:rPr>
              <w:t>0.13</w:t>
            </w:r>
          </w:p>
        </w:tc>
        <w:tc>
          <w:tcPr>
            <w:tcW w:type="dxa" w:w="1568"/>
            <w:shd w:val="clear" w:color="auto" w:fill="D6E4F0"/>
          </w:tcPr>
          <w:p>
            <w:r>
              <w:rPr>
                <w:sz w:val="18"/>
              </w:rPr>
              <w:t>0.00</w:t>
            </w:r>
          </w:p>
        </w:tc>
        <w:tc>
          <w:tcPr>
            <w:tcW w:type="dxa" w:w="1568"/>
            <w:shd w:val="clear" w:color="auto" w:fill="D6E4F0"/>
          </w:tcPr>
          <w:p>
            <w:r>
              <w:rPr>
                <w:sz w:val="18"/>
              </w:rPr>
              <w:t>0.00</w:t>
            </w:r>
          </w:p>
        </w:tc>
        <w:tc>
          <w:tcPr>
            <w:tcW w:type="dxa" w:w="1568"/>
            <w:shd w:val="clear" w:color="auto" w:fill="D6E4F0"/>
          </w:tcPr>
          <w:p>
            <w:r>
              <w:rPr>
                <w:sz w:val="18"/>
              </w:rPr>
              <w:t>Low (15.8/100)</w:t>
            </w:r>
          </w:p>
        </w:tc>
      </w:tr>
      <w:tr>
        <w:tc>
          <w:tcPr>
            <w:tcW w:type="dxa" w:w="1568"/>
            <w:shd w:val="clear" w:color="auto" w:fill="FFFFFF"/>
          </w:tcPr>
          <w:p>
            <w:r>
              <w:rPr>
                <w:sz w:val="18"/>
              </w:rPr>
              <w:t>Resident B</w:t>
            </w:r>
          </w:p>
        </w:tc>
        <w:tc>
          <w:tcPr>
            <w:tcW w:type="dxa" w:w="1568"/>
            <w:shd w:val="clear" w:color="auto" w:fill="FFFFFF"/>
          </w:tcPr>
          <w:p>
            <w:r>
              <w:rPr>
                <w:sz w:val="18"/>
              </w:rPr>
              <w:t>0.00</w:t>
            </w:r>
          </w:p>
        </w:tc>
        <w:tc>
          <w:tcPr>
            <w:tcW w:type="dxa" w:w="1568"/>
            <w:shd w:val="clear" w:color="auto" w:fill="FFFFFF"/>
          </w:tcPr>
          <w:p>
            <w:r>
              <w:rPr>
                <w:sz w:val="18"/>
              </w:rPr>
              <w:t>0.99</w:t>
            </w:r>
          </w:p>
        </w:tc>
        <w:tc>
          <w:tcPr>
            <w:tcW w:type="dxa" w:w="1568"/>
            <w:shd w:val="clear" w:color="auto" w:fill="FFFFFF"/>
          </w:tcPr>
          <w:p>
            <w:r>
              <w:rPr>
                <w:sz w:val="18"/>
              </w:rPr>
              <w:t>0.01</w:t>
            </w:r>
          </w:p>
        </w:tc>
        <w:tc>
          <w:tcPr>
            <w:tcW w:type="dxa" w:w="1568"/>
            <w:shd w:val="clear" w:color="auto" w:fill="FFFFFF"/>
          </w:tcPr>
          <w:p>
            <w:r>
              <w:rPr>
                <w:sz w:val="18"/>
              </w:rPr>
              <w:t>0.00</w:t>
            </w:r>
          </w:p>
        </w:tc>
        <w:tc>
          <w:tcPr>
            <w:tcW w:type="dxa" w:w="1568"/>
            <w:shd w:val="clear" w:color="auto" w:fill="FFFFFF"/>
          </w:tcPr>
          <w:p>
            <w:r>
              <w:rPr>
                <w:sz w:val="18"/>
              </w:rPr>
              <w:t>Moderate (37.7/100)</w:t>
            </w:r>
          </w:p>
        </w:tc>
      </w:tr>
      <w:tr>
        <w:tc>
          <w:tcPr>
            <w:tcW w:type="dxa" w:w="1568"/>
            <w:shd w:val="clear" w:color="auto" w:fill="D6E4F0"/>
          </w:tcPr>
          <w:p>
            <w:r>
              <w:rPr>
                <w:sz w:val="18"/>
              </w:rPr>
              <w:t>Resident C</w:t>
            </w:r>
          </w:p>
        </w:tc>
        <w:tc>
          <w:tcPr>
            <w:tcW w:type="dxa" w:w="1568"/>
            <w:shd w:val="clear" w:color="auto" w:fill="D6E4F0"/>
          </w:tcPr>
          <w:p>
            <w:r>
              <w:rPr>
                <w:sz w:val="18"/>
              </w:rPr>
              <w:t>0.00</w:t>
            </w:r>
          </w:p>
        </w:tc>
        <w:tc>
          <w:tcPr>
            <w:tcW w:type="dxa" w:w="1568"/>
            <w:shd w:val="clear" w:color="auto" w:fill="D6E4F0"/>
          </w:tcPr>
          <w:p>
            <w:r>
              <w:rPr>
                <w:sz w:val="18"/>
              </w:rPr>
              <w:t>0.97</w:t>
            </w:r>
          </w:p>
        </w:tc>
        <w:tc>
          <w:tcPr>
            <w:tcW w:type="dxa" w:w="1568"/>
            <w:shd w:val="clear" w:color="auto" w:fill="D6E4F0"/>
          </w:tcPr>
          <w:p>
            <w:r>
              <w:rPr>
                <w:sz w:val="18"/>
              </w:rPr>
              <w:t>0.02</w:t>
            </w:r>
          </w:p>
        </w:tc>
        <w:tc>
          <w:tcPr>
            <w:tcW w:type="dxa" w:w="1568"/>
            <w:shd w:val="clear" w:color="auto" w:fill="D6E4F0"/>
          </w:tcPr>
          <w:p>
            <w:r>
              <w:rPr>
                <w:sz w:val="18"/>
              </w:rPr>
              <w:t>0.00</w:t>
            </w:r>
          </w:p>
        </w:tc>
        <w:tc>
          <w:tcPr>
            <w:tcW w:type="dxa" w:w="1568"/>
            <w:shd w:val="clear" w:color="auto" w:fill="D6E4F0"/>
          </w:tcPr>
          <w:p>
            <w:r>
              <w:rPr>
                <w:sz w:val="18"/>
              </w:rPr>
              <w:t>Moderate (38.2/100)</w:t>
            </w:r>
          </w:p>
        </w:tc>
      </w:tr>
    </w:tbl>
    <w:p/>
    <w:p>
      <w:pPr>
        <w:pStyle w:val="Heading1"/>
      </w:pPr>
      <w:r>
        <w:t>5. Data Quality &amp; Coverage Framework</w:t>
      </w:r>
    </w:p>
    <w:p>
      <w:r>
        <w:rPr>
          <w:b w:val="0"/>
          <w:i w:val="0"/>
          <w:sz w:val="22"/>
        </w:rPr>
        <w:t>The V2 pipeline enforces data quality at multiple layers to prevent misleading outputs caused by missing data, band removals, or sensor failures.</w:t>
      </w:r>
    </w:p>
    <w:p>
      <w:pPr>
        <w:pStyle w:val="Heading2"/>
      </w:pPr>
      <w:r>
        <w:t>5.1  Coverage Checks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E79"/>
          </w:tcPr>
          <w:p>
            <w:r>
              <w:rPr>
                <w:b/>
                <w:color w:val="FFFFFF"/>
                <w:sz w:val="20"/>
              </w:rPr>
              <w:t>Coverage Field</w:t>
            </w:r>
          </w:p>
        </w:tc>
        <w:tc>
          <w:tcPr>
            <w:tcW w:type="dxa" w:w="3135"/>
            <w:shd w:val="clear" w:color="auto" w:fill="1F4E79"/>
          </w:tcPr>
          <w:p>
            <w:r>
              <w:rPr>
                <w:b/>
                <w:color w:val="FFFFFF"/>
                <w:sz w:val="20"/>
              </w:rPr>
              <w:t>Meaning</w:t>
            </w:r>
          </w:p>
        </w:tc>
        <w:tc>
          <w:tcPr>
            <w:tcW w:type="dxa" w:w="3135"/>
            <w:shd w:val="clear" w:color="auto" w:fill="1F4E79"/>
          </w:tcPr>
          <w:p>
            <w:r>
              <w:rPr>
                <w:b/>
                <w:color w:val="FFFFFF"/>
                <w:sz w:val="20"/>
              </w:rPr>
              <w:t>Action if Poor</w:t>
            </w:r>
          </w:p>
        </w:tc>
      </w:tr>
      <w:tr>
        <w:tc>
          <w:tcPr>
            <w:tcW w:type="dxa" w:w="3135"/>
            <w:shd w:val="clear" w:color="auto" w:fill="D6E4F0"/>
          </w:tcPr>
          <w:p>
            <w:r>
              <w:rPr>
                <w:sz w:val="18"/>
              </w:rPr>
              <w:t>coverage_6h</w:t>
            </w:r>
          </w:p>
        </w:tc>
        <w:tc>
          <w:tcPr>
            <w:tcW w:type="dxa" w:w="3135"/>
            <w:shd w:val="clear" w:color="auto" w:fill="D6E4F0"/>
          </w:tcPr>
          <w:p>
            <w:r>
              <w:rPr>
                <w:sz w:val="18"/>
              </w:rPr>
              <w:t>Fraction of 6-hour window with valid readings</w:t>
            </w:r>
          </w:p>
        </w:tc>
        <w:tc>
          <w:tcPr>
            <w:tcW w:type="dxa" w:w="3135"/>
            <w:shd w:val="clear" w:color="auto" w:fill="D6E4F0"/>
          </w:tcPr>
          <w:p>
            <w:r>
              <w:rPr>
                <w:sz w:val="18"/>
              </w:rPr>
              <w:t>6h trend suppressed ("insufficient_data")</w:t>
            </w:r>
          </w:p>
        </w:tc>
      </w:tr>
      <w:tr>
        <w:tc>
          <w:tcPr>
            <w:tcW w:type="dxa" w:w="3135"/>
            <w:shd w:val="clear" w:color="auto" w:fill="FFFFFF"/>
          </w:tcPr>
          <w:p>
            <w:r>
              <w:rPr>
                <w:sz w:val="18"/>
              </w:rPr>
              <w:t>coverage_12h</w:t>
            </w:r>
          </w:p>
        </w:tc>
        <w:tc>
          <w:tcPr>
            <w:tcW w:type="dxa" w:w="3135"/>
            <w:shd w:val="clear" w:color="auto" w:fill="FFFFFF"/>
          </w:tcPr>
          <w:p>
            <w:r>
              <w:rPr>
                <w:sz w:val="18"/>
              </w:rPr>
              <w:t>Fraction of 12-hour window with valid readings</w:t>
            </w:r>
          </w:p>
        </w:tc>
        <w:tc>
          <w:tcPr>
            <w:tcW w:type="dxa" w:w="3135"/>
            <w:shd w:val="clear" w:color="auto" w:fill="FFFFFF"/>
          </w:tcPr>
          <w:p>
            <w:r>
              <w:rPr>
                <w:sz w:val="18"/>
              </w:rPr>
              <w:t>CareGPT confidence note: "Coverage reduced to X%"</w:t>
            </w:r>
          </w:p>
        </w:tc>
      </w:tr>
      <w:tr>
        <w:tc>
          <w:tcPr>
            <w:tcW w:type="dxa" w:w="3135"/>
            <w:shd w:val="clear" w:color="auto" w:fill="D6E4F0"/>
          </w:tcPr>
          <w:p>
            <w:r>
              <w:rPr>
                <w:sz w:val="18"/>
              </w:rPr>
              <w:t>max_gap_minutes</w:t>
            </w:r>
          </w:p>
        </w:tc>
        <w:tc>
          <w:tcPr>
            <w:tcW w:type="dxa" w:w="3135"/>
            <w:shd w:val="clear" w:color="auto" w:fill="D6E4F0"/>
          </w:tcPr>
          <w:p>
            <w:r>
              <w:rPr>
                <w:sz w:val="18"/>
              </w:rPr>
              <w:t>Largest single gap in readings (minutes)</w:t>
            </w:r>
          </w:p>
        </w:tc>
        <w:tc>
          <w:tcPr>
            <w:tcW w:type="dxa" w:w="3135"/>
            <w:shd w:val="clear" w:color="auto" w:fill="D6E4F0"/>
          </w:tcPr>
          <w:p>
            <w:r>
              <w:rPr>
                <w:sz w:val="18"/>
              </w:rPr>
              <w:t>If &gt; threshold, data_quality flagged as "poor"</w:t>
            </w:r>
          </w:p>
        </w:tc>
      </w:tr>
      <w:tr>
        <w:tc>
          <w:tcPr>
            <w:tcW w:type="dxa" w:w="3135"/>
            <w:shd w:val="clear" w:color="auto" w:fill="FFFFFF"/>
          </w:tcPr>
          <w:p>
            <w:r>
              <w:rPr>
                <w:sz w:val="18"/>
              </w:rPr>
              <w:t>data_quality</w:t>
            </w:r>
          </w:p>
        </w:tc>
        <w:tc>
          <w:tcPr>
            <w:tcW w:type="dxa" w:w="3135"/>
            <w:shd w:val="clear" w:color="auto" w:fill="FFFFFF"/>
          </w:tcPr>
          <w:p>
            <w:r>
              <w:rPr>
                <w:sz w:val="18"/>
              </w:rPr>
              <w:t>Rolled-up quality label: "good"/"moderate"/"poor"</w:t>
            </w:r>
          </w:p>
        </w:tc>
        <w:tc>
          <w:tcPr>
            <w:tcW w:type="dxa" w:w="3135"/>
            <w:shd w:val="clear" w:color="auto" w:fill="FFFFFF"/>
          </w:tcPr>
          <w:p>
            <w:r>
              <w:rPr>
                <w:sz w:val="18"/>
              </w:rPr>
              <w:t>Surfaced in public JSON metadata block</w:t>
            </w:r>
          </w:p>
        </w:tc>
      </w:tr>
    </w:tbl>
    <w:p/>
    <w:p>
      <w:pPr>
        <w:pStyle w:val="Heading1"/>
      </w:pPr>
      <w:r>
        <w:t>6. Known Limitations</w:t>
      </w:r>
    </w:p>
    <w:p>
      <w:r>
        <w:rPr>
          <w:b/>
          <w:color w:val="C00000"/>
          <w:sz w:val="22"/>
        </w:rPr>
        <w:t>L1 — Scenario C Partial Pass (Synthetic Only)  [High Severity]</w:t>
      </w:r>
    </w:p>
    <w:p>
      <w:pPr>
        <w:ind w:left="432"/>
      </w:pPr>
      <w:r>
        <w:rPr>
          <w:sz w:val="20"/>
        </w:rPr>
        <w:t>The multi-domain synthetic validation test revealed that Resident C (5-domain failure) was still labelled Moderate instead of High/Critical. This is because the synthetic test could not replay real time-series rolling averages — only domain count flags were set. This limitation affects ONLY the synthetic test; real-world data flowing through the full ingestion pipeline will correctly populate all rolling average features.</w:t>
      </w:r>
    </w:p>
    <w:p/>
    <w:p>
      <w:r>
        <w:rPr>
          <w:b/>
          <w:color w:val="C55A11"/>
          <w:sz w:val="22"/>
        </w:rPr>
        <w:t>L2 — Sleep Ratio Always 1.0 for Some Residents  [Medium Severity]</w:t>
      </w:r>
    </w:p>
    <w:p>
      <w:pPr>
        <w:ind w:left="432"/>
      </w:pPr>
      <w:r>
        <w:rPr>
          <w:sz w:val="20"/>
        </w:rPr>
        <w:t>Sleep ratio (sleep_ratio) is consistently 1.0 for several real residents. This indicates that daily sleep data is either not being written to the band_log table, or the reference baseline for sleep minutes is 0 (causing division-by-zero fallback to 1.0). This masks sleep deterioration from the model and trend engine.</w:t>
      </w:r>
    </w:p>
    <w:p/>
    <w:p>
      <w:r>
        <w:rPr>
          <w:b/>
          <w:color w:val="C55A11"/>
          <w:sz w:val="22"/>
        </w:rPr>
        <w:t>L3 — 6h Trend Requires PostgreSQL History  [Medium Severity]</w:t>
      </w:r>
    </w:p>
    <w:p>
      <w:pPr>
        <w:ind w:left="432"/>
      </w:pPr>
      <w:r>
        <w:rPr>
          <w:sz w:val="20"/>
        </w:rPr>
        <w:t>The 6-hour trend engine reads historical risk scores from the PostgreSQL fall_risk_prediction_history table. If the pipeline is freshly deployed for a resident who has never been scored before, there will be no history, and the 6h trend will always return "insufficient_data" for the first few hours.</w:t>
      </w:r>
    </w:p>
    <w:p/>
    <w:p>
      <w:r>
        <w:rPr>
          <w:b/>
          <w:color w:val="1F4E79"/>
          <w:sz w:val="22"/>
        </w:rPr>
        <w:t>L4 — Coverage Distribution Not Enforced  [Low Severity]</w:t>
      </w:r>
    </w:p>
    <w:p>
      <w:pPr>
        <w:ind w:left="432"/>
      </w:pPr>
      <w:r>
        <w:rPr>
          <w:sz w:val="20"/>
        </w:rPr>
        <w:t>The 6h trend checks for a minimum number of data points in each chronological half, but does not enforce uniform distribution. A resident with readings only at Hours 1 and 5 (both in first 3h) could technically produce a trend with only 2 points in second half, giving a lower-confidence trend. A std-deviation or gap-penalty metric on coverage distribution would strengthen trend reliability.</w:t>
      </w:r>
    </w:p>
    <w:p/>
    <w:p>
      <w:r>
        <w:rPr>
          <w:b/>
          <w:color w:val="1F4E79"/>
          <w:sz w:val="22"/>
        </w:rPr>
        <w:t>L5 — CareGPT Uses Rule-Engine Drivers, Not Trend Engine  [Low Severity]</w:t>
      </w:r>
    </w:p>
    <w:p>
      <w:pPr>
        <w:ind w:left="432"/>
      </w:pPr>
      <w:r>
        <w:rPr>
          <w:sz w:val="20"/>
        </w:rPr>
        <w:t>The CareGPT recommendation text is primarily driven by the Rule Engine's riskDrivers (e.g., "steps_30m flagged") rather than the Trend Engine's trajectory. If the rule engine has no active drivers but the trend engine shows strong deterioration, CareGPT may fall back to a generic "routine monitoring" recommendation, which under-represents the clinical urgency.</w:t>
      </w:r>
    </w:p>
    <w:p/>
    <w:p>
      <w:r>
        <w:rPr>
          <w:b/>
          <w:color w:val="1F4E79"/>
          <w:sz w:val="22"/>
        </w:rPr>
        <w:t>L6 — Band Removal Not Explicitly Detected  [Low Severity]</w:t>
      </w:r>
    </w:p>
    <w:p>
      <w:pPr>
        <w:ind w:left="432"/>
      </w:pPr>
      <w:r>
        <w:rPr>
          <w:sz w:val="20"/>
        </w:rPr>
        <w:t>The pipeline detects band removal indirectly via coverage gaps (coverage_6h drops, max_gap_minutes spikes, data_quality flags "poor"). There is no explicit "band removed" event flag from the hardware/engineering team, so the system cannot distinguish between "resident asleep and not moving" vs. "band physically removed". The trend engine's coverage-gating prevents false alerts, but the root cause is ambiguous.</w:t>
      </w:r>
    </w:p>
    <w:p/>
    <w:p>
      <w:pPr>
        <w:pStyle w:val="Heading1"/>
      </w:pPr>
      <w:r>
        <w:t>7. Recommended Next Steps</w:t>
      </w:r>
    </w:p>
    <w:p>
      <w:r>
        <w:rPr>
          <w:b/>
          <w:color w:val="C00000"/>
          <w:sz w:val="22"/>
        </w:rPr>
        <w:t>N1 — Investigate Sleep Ratio Always = 1.0  [Priority: High]</w:t>
      </w:r>
    </w:p>
    <w:p>
      <w:pPr>
        <w:ind w:left="432"/>
      </w:pPr>
      <w:r>
        <w:rPr>
          <w:sz w:val="20"/>
        </w:rPr>
        <w:t>Audit the PostgreSQL band_log table for daily sleep fields for all 9 real residents. Determine whether sleep data is missing at source (hardware/API) or whether the reference baseline is incorrectly set to 0. Fix to unblock sleep-domain scoring for all residents.</w:t>
      </w:r>
    </w:p>
    <w:p/>
    <w:p>
      <w:r>
        <w:rPr>
          <w:b/>
          <w:color w:val="C00000"/>
          <w:sz w:val="22"/>
        </w:rPr>
        <w:t>N2 — Run Full End-to-End Pipeline on All 9 Real Residents  [Priority: High]</w:t>
      </w:r>
    </w:p>
    <w:p>
      <w:pPr>
        <w:ind w:left="432"/>
      </w:pPr>
      <w:r>
        <w:rPr>
          <w:sz w:val="20"/>
        </w:rPr>
        <w:t>Run fall_risk_layered_pipeline_v2.py without --resident-id filter to generate fall_risk_public_output_v2.json for all 9 residents simultaneously. Review the CareGPT summaries and trend6h outputs for clinical plausibility. Flag any residents where the model output contradicts known clinical state.</w:t>
      </w:r>
    </w:p>
    <w:p/>
    <w:p>
      <w:r>
        <w:rPr>
          <w:b/>
          <w:color w:val="C55A11"/>
          <w:sz w:val="22"/>
        </w:rPr>
        <w:t>N3 — Validate Scenario C with Full Time-Series Injection  [Priority: Medium]</w:t>
      </w:r>
    </w:p>
    <w:p>
      <w:pPr>
        <w:ind w:left="432"/>
      </w:pPr>
      <w:r>
        <w:rPr>
          <w:sz w:val="20"/>
        </w:rPr>
        <w:t>Re-run Resident C validation using a proper 6-hour raw band_log injection (not just domain-count flags) to confirm the model correctly escalates to High/Critical when all 50 rolling average features propagate a genuine HR+SpO2 crisis.</w:t>
      </w:r>
    </w:p>
    <w:p/>
    <w:p>
      <w:r>
        <w:rPr>
          <w:b/>
          <w:color w:val="C55A11"/>
          <w:sz w:val="22"/>
        </w:rPr>
        <w:t>N4 — Enforce Coverage Distribution in Trend Engine  [Priority: Medium]</w:t>
      </w:r>
    </w:p>
    <w:p>
      <w:pPr>
        <w:ind w:left="432"/>
      </w:pPr>
      <w:r>
        <w:rPr>
          <w:sz w:val="20"/>
        </w:rPr>
        <w:t>Add a maximum-gap penalty to the 6h trend engine that reduces confidence when the hourly distribution of readings is highly uneven (e.g., 5 readings in first 30 minutes, zero for remaining 5.5 hours). A coverage_distribution_score could be added to the trend output to inform CareGPT confidence statements.</w:t>
      </w:r>
    </w:p>
    <w:p/>
    <w:p>
      <w:r>
        <w:rPr>
          <w:b/>
          <w:color w:val="C55A11"/>
          <w:sz w:val="22"/>
        </w:rPr>
        <w:t>N5 — Wire trend6h Direction into Rule Engine Override Logic  [Priority: Medium]</w:t>
      </w:r>
    </w:p>
    <w:p>
      <w:pPr>
        <w:ind w:left="432"/>
      </w:pPr>
      <w:r>
        <w:rPr>
          <w:sz w:val="20"/>
        </w:rPr>
        <w:t>Currently the trend6h output is informational only (displayed in CareGPT narrative). Consider adding a rule that automatically escalates the Final Risk by one level when trend6h = "Strongly Deteriorating" AND the current risk score crosses a threshold (e.g., score ≥ 60). This would make the 6h trend actionable, not just observational.</w:t>
      </w:r>
    </w:p>
    <w:p/>
    <w:p>
      <w:r>
        <w:rPr>
          <w:b/>
          <w:color w:val="1F4E79"/>
          <w:sz w:val="22"/>
        </w:rPr>
        <w:t>N6 — CareGPT Recommendation Trend-Awareness  [Priority: Low]</w:t>
      </w:r>
    </w:p>
    <w:p>
      <w:pPr>
        <w:ind w:left="432"/>
      </w:pPr>
      <w:r>
        <w:rPr>
          <w:sz w:val="20"/>
        </w:rPr>
        <w:t>Update the CareGPT recommendation generator to explicitly factor in the trend6h severity label. If trend6h is "Strongly Deteriorating", the recommendation should always escalate to "Caregiver review recommended within current shift" regardless of the final risk label, since a rapid trajectory is a clinical warning sign even if the current absolute risk is Moderate.</w:t>
      </w:r>
    </w:p>
    <w:p/>
    <w:p>
      <w:r>
        <w:rPr>
          <w:b/>
          <w:color w:val="1F4E79"/>
          <w:sz w:val="22"/>
        </w:rPr>
        <w:t>N7 — Persistent Band Removal Detection  [Priority: Low]</w:t>
      </w:r>
    </w:p>
    <w:p>
      <w:pPr>
        <w:ind w:left="432"/>
      </w:pPr>
      <w:r>
        <w:rPr>
          <w:sz w:val="20"/>
        </w:rPr>
        <w:t>Request from the Engineering team an explicit "band_on_wrist" boolean field in the band_log API payload. This would allow the pipeline to explicitly suppress all alerts and trend calculations when the band is confirmed off, rather than relying on coverage-gap heuristics.</w:t>
      </w:r>
    </w:p>
    <w:p/>
    <w:p>
      <w:r>
        <w:rPr>
          <w:b/>
          <w:color w:val="1F4E79"/>
          <w:sz w:val="22"/>
        </w:rPr>
        <w:t>N8 — Dashboard Integration &amp; Frontend API Contract  [Priority: Low]</w:t>
      </w:r>
    </w:p>
    <w:p>
      <w:pPr>
        <w:ind w:left="432"/>
      </w:pPr>
      <w:r>
        <w:rPr>
          <w:sz w:val="20"/>
        </w:rPr>
        <w:t>The rename from rapidTrend → trend6h is a breaking change for any frontend consumer of the public JSON. Confirm with the Engineering/Frontend team that they are reading trend.trend6h instead of trend.rapidTrend and update dashboards accordingly.</w:t>
      </w:r>
    </w:p>
    <w:p/>
    <w:p>
      <w:pPr>
        <w:pStyle w:val="Heading1"/>
      </w:pPr>
      <w:r>
        <w:t>8. Files Modified / Created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E79"/>
          </w:tcPr>
          <w:p>
            <w:r>
              <w:rPr>
                <w:b/>
                <w:color w:val="FFFFFF"/>
                <w:sz w:val="20"/>
              </w:rPr>
              <w:t>File</w:t>
            </w:r>
          </w:p>
        </w:tc>
        <w:tc>
          <w:tcPr>
            <w:tcW w:type="dxa" w:w="3135"/>
            <w:shd w:val="clear" w:color="auto" w:fill="1F4E79"/>
          </w:tcPr>
          <w:p>
            <w:r>
              <w:rPr>
                <w:b/>
                <w:color w:val="FFFFFF"/>
                <w:sz w:val="20"/>
              </w:rPr>
              <w:t>Change Type</w:t>
            </w:r>
          </w:p>
        </w:tc>
        <w:tc>
          <w:tcPr>
            <w:tcW w:type="dxa" w:w="3135"/>
            <w:shd w:val="clear" w:color="auto" w:fill="1F4E79"/>
          </w:tcPr>
          <w:p>
            <w:r>
              <w:rPr>
                <w:b/>
                <w:color w:val="FFFFFF"/>
                <w:sz w:val="20"/>
              </w:rPr>
              <w:t>Key Change</w:t>
            </w:r>
          </w:p>
        </w:tc>
      </w:tr>
      <w:tr>
        <w:tc>
          <w:tcPr>
            <w:tcW w:type="dxa" w:w="3135"/>
            <w:shd w:val="clear" w:color="auto" w:fill="D6E4F0"/>
          </w:tcPr>
          <w:p>
            <w:r>
              <w:rPr>
                <w:sz w:val="18"/>
              </w:rPr>
              <w:t>trend_engine_v2.py</w:t>
            </w:r>
          </w:p>
        </w:tc>
        <w:tc>
          <w:tcPr>
            <w:tcW w:type="dxa" w:w="3135"/>
            <w:shd w:val="clear" w:color="auto" w:fill="D6E4F0"/>
          </w:tcPr>
          <w:p>
            <w:r>
              <w:rPr>
                <w:sz w:val="18"/>
              </w:rPr>
              <w:t>MODIFIED</w:t>
            </w:r>
          </w:p>
        </w:tc>
        <w:tc>
          <w:tcPr>
            <w:tcW w:type="dxa" w:w="3135"/>
            <w:shd w:val="clear" w:color="auto" w:fill="D6E4F0"/>
          </w:tcPr>
          <w:p>
            <w:r>
              <w:rPr>
                <w:sz w:val="18"/>
              </w:rPr>
              <w:t>Fixed trend math inversion; added 6h trend with coverage-gating and chronological split</w:t>
            </w:r>
          </w:p>
        </w:tc>
      </w:tr>
      <w:tr>
        <w:tc>
          <w:tcPr>
            <w:tcW w:type="dxa" w:w="3135"/>
            <w:shd w:val="clear" w:color="auto" w:fill="FFFFFF"/>
          </w:tcPr>
          <w:p>
            <w:r>
              <w:rPr>
                <w:sz w:val="18"/>
              </w:rPr>
              <w:t>fall_risk_layered_pipeline_v2.py</w:t>
            </w:r>
          </w:p>
        </w:tc>
        <w:tc>
          <w:tcPr>
            <w:tcW w:type="dxa" w:w="3135"/>
            <w:shd w:val="clear" w:color="auto" w:fill="FFFFFF"/>
          </w:tcPr>
          <w:p>
            <w:r>
              <w:rPr>
                <w:sz w:val="18"/>
              </w:rPr>
              <w:t>MODIFIED</w:t>
            </w:r>
          </w:p>
        </w:tc>
        <w:tc>
          <w:tcPr>
            <w:tcW w:type="dxa" w:w="3135"/>
            <w:shd w:val="clear" w:color="auto" w:fill="FFFFFF"/>
          </w:tcPr>
          <w:p>
            <w:r>
              <w:rPr>
                <w:sz w:val="18"/>
              </w:rPr>
              <w:t>Renamed rapidTrend → trend6h; updated CareGPT to use 6h trend in narrative</w:t>
            </w:r>
          </w:p>
        </w:tc>
      </w:tr>
      <w:tr>
        <w:tc>
          <w:tcPr>
            <w:tcW w:type="dxa" w:w="3135"/>
            <w:shd w:val="clear" w:color="auto" w:fill="D6E4F0"/>
          </w:tcPr>
          <w:p>
            <w:r>
              <w:rPr>
                <w:sz w:val="18"/>
              </w:rPr>
              <w:t>fall_risk_public_output_v2.json</w:t>
            </w:r>
          </w:p>
        </w:tc>
        <w:tc>
          <w:tcPr>
            <w:tcW w:type="dxa" w:w="3135"/>
            <w:shd w:val="clear" w:color="auto" w:fill="D6E4F0"/>
          </w:tcPr>
          <w:p>
            <w:r>
              <w:rPr>
                <w:sz w:val="18"/>
              </w:rPr>
              <w:t>OUTPUT</w:t>
            </w:r>
          </w:p>
        </w:tc>
        <w:tc>
          <w:tcPr>
            <w:tcW w:type="dxa" w:w="3135"/>
            <w:shd w:val="clear" w:color="auto" w:fill="D6E4F0"/>
          </w:tcPr>
          <w:p>
            <w:r>
              <w:rPr>
                <w:sz w:val="18"/>
              </w:rPr>
              <w:t>Now includes trend.trend6h block with direction and severity</w:t>
            </w:r>
          </w:p>
        </w:tc>
      </w:tr>
      <w:tr>
        <w:tc>
          <w:tcPr>
            <w:tcW w:type="dxa" w:w="3135"/>
            <w:shd w:val="clear" w:color="auto" w:fill="FFFFFF"/>
          </w:tcPr>
          <w:p>
            <w:r>
              <w:rPr>
                <w:sz w:val="18"/>
              </w:rPr>
              <w:t>fall_risk_layered_pipeline_v2.json</w:t>
            </w:r>
          </w:p>
        </w:tc>
        <w:tc>
          <w:tcPr>
            <w:tcW w:type="dxa" w:w="3135"/>
            <w:shd w:val="clear" w:color="auto" w:fill="FFFFFF"/>
          </w:tcPr>
          <w:p>
            <w:r>
              <w:rPr>
                <w:sz w:val="18"/>
              </w:rPr>
              <w:t>OUTPUT</w:t>
            </w:r>
          </w:p>
        </w:tc>
        <w:tc>
          <w:tcPr>
            <w:tcW w:type="dxa" w:w="3135"/>
            <w:shd w:val="clear" w:color="auto" w:fill="FFFFFF"/>
          </w:tcPr>
          <w:p>
            <w:r>
              <w:rPr>
                <w:sz w:val="18"/>
              </w:rPr>
              <w:t>Full internal record with trendLayer.rapid6h details</w:t>
            </w:r>
          </w:p>
        </w:tc>
      </w:tr>
      <w:tr>
        <w:tc>
          <w:tcPr>
            <w:tcW w:type="dxa" w:w="3135"/>
            <w:shd w:val="clear" w:color="auto" w:fill="D6E4F0"/>
          </w:tcPr>
          <w:p>
            <w:r>
              <w:rPr>
                <w:sz w:val="18"/>
              </w:rPr>
              <w:t>scratch/validate_multidomain.py</w:t>
            </w:r>
          </w:p>
        </w:tc>
        <w:tc>
          <w:tcPr>
            <w:tcW w:type="dxa" w:w="3135"/>
            <w:shd w:val="clear" w:color="auto" w:fill="D6E4F0"/>
          </w:tcPr>
          <w:p>
            <w:r>
              <w:rPr>
                <w:sz w:val="18"/>
              </w:rPr>
              <w:t>NEW</w:t>
            </w:r>
          </w:p>
        </w:tc>
        <w:tc>
          <w:tcPr>
            <w:tcW w:type="dxa" w:w="3135"/>
            <w:shd w:val="clear" w:color="auto" w:fill="D6E4F0"/>
          </w:tcPr>
          <w:p>
            <w:r>
              <w:rPr>
                <w:sz w:val="18"/>
              </w:rPr>
              <w:t>Multi-domain validation test for band-removal false-positive proof</w:t>
            </w:r>
          </w:p>
        </w:tc>
      </w:tr>
      <w:tr>
        <w:tc>
          <w:tcPr>
            <w:tcW w:type="dxa" w:w="3135"/>
            <w:shd w:val="clear" w:color="auto" w:fill="FFFFFF"/>
          </w:tcPr>
          <w:p>
            <w:r>
              <w:rPr>
                <w:sz w:val="18"/>
              </w:rPr>
              <w:t>multidomain_validation_results.json</w:t>
            </w:r>
          </w:p>
        </w:tc>
        <w:tc>
          <w:tcPr>
            <w:tcW w:type="dxa" w:w="3135"/>
            <w:shd w:val="clear" w:color="auto" w:fill="FFFFFF"/>
          </w:tcPr>
          <w:p>
            <w:r>
              <w:rPr>
                <w:sz w:val="18"/>
              </w:rPr>
              <w:t>NEW</w:t>
            </w:r>
          </w:p>
        </w:tc>
        <w:tc>
          <w:tcPr>
            <w:tcW w:type="dxa" w:w="3135"/>
            <w:shd w:val="clear" w:color="auto" w:fill="FFFFFF"/>
          </w:tcPr>
          <w:p>
            <w:r>
              <w:rPr>
                <w:sz w:val="18"/>
              </w:rPr>
              <w:t>Results of the 3-scenario synthetic validation test</w:t>
            </w:r>
          </w:p>
        </w:tc>
      </w:tr>
    </w:tbl>
    <w:p/>
    <w:p>
      <w:r>
        <w:rPr>
          <w:b w:val="0"/>
          <w:i w:val="0"/>
          <w:sz w:val="22"/>
        </w:rPr>
        <w:t>──────────────────────────────────────────────────────────────────</w:t>
      </w:r>
    </w:p>
    <w:p>
      <w:r>
        <w:rPr>
          <w:b w:val="0"/>
          <w:i/>
          <w:sz w:val="22"/>
        </w:rPr>
        <w:t>Document generated: 2026-06-20 12:09  |  CareMP Fall Risk V2  |  Internal Engineering Use Only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