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G2M insight for Cab Investment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18 April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 LISUM32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 Darshan Dhanani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https://github.com/darshan-1611-dev/VC/tree/master/week%202/Dataset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Cab_Data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359392</w:t>
            </w:r>
          </w:p>
        </w:tc>
      </w:tr>
      <w:tr>
        <w:trPr>
          <w:trHeight w:val="23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20.66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Transaction_ID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8.79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customer_ID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</w:t>
            </w:r>
          </w:p>
        </w:tc>
      </w:tr>
      <w:tr>
        <w:trPr>
          <w:trHeight w:val="227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KB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Cab_Data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Change 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Converted "Company" column values to numerical representation: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Pink Cab (0), Yellow Cab (1).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Reason for 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 enable numerical analysis and modeling for improved efficiency and </w:t>
        <w:tab/>
        <w:tab/>
        <w:tab/>
        <w:t xml:space="preserve">comparability.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Impact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Updated "Company" column values to numerical codes.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No structural changes to the dataset.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Ensured data consistency and integrity.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7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rshan-1611-dev/VC/tree/master/week%202/Datas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