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Vishwaniketan's Institute of Management Entrepreneurship &amp; Engineering Technology (iMEET)</w:t>
      </w:r>
    </w:p>
    <w:p>
      <w:pPr>
        <w:spacing w:after="60"/>
        <w:jc w:val="center"/>
      </w:pPr>
      <w:r>
        <w:rPr>
          <w:rFonts w:ascii="Times New Roman" w:cs="Times New Roman" w:eastAsia="Times New Roman" w:hAnsi="Times New Roman"/>
          <w:b w:val="false"/>
          <w:bCs w:val="false"/>
          <w:sz w:val="20"/>
          <w:szCs w:val="20"/>
        </w:rPr>
        <w:t xml:space="preserve">Affiliated to University of Mumbai, Approved by AICTE, New Delhi</w:t>
      </w:r>
    </w:p>
    <w:p>
      <w:pPr>
        <w:spacing w:after="260"/>
        <w:jc w:val="center"/>
      </w:pPr>
      <w:r>
        <w:rPr>
          <w:rFonts w:ascii="Times New Roman" w:cs="Times New Roman" w:eastAsia="Times New Roman" w:hAnsi="Times New Roman"/>
          <w:b/>
          <w:bCs/>
          <w:sz w:val="20"/>
          <w:szCs w:val="20"/>
        </w:rPr>
        <w:t xml:space="preserve">Department of Computer Engineering</w:t>
      </w:r>
    </w:p>
    <w:p>
      <w:pPr>
        <w:spacing w:after="80" w:before="200"/>
        <w:jc w:val="center"/>
      </w:pPr>
      <w:r>
        <w:rPr>
          <w:rFonts w:ascii="Times New Roman" w:cs="Times New Roman" w:eastAsia="Times New Roman" w:hAnsi="Times New Roman"/>
          <w:b/>
          <w:bCs/>
          <w:sz w:val="34"/>
          <w:szCs w:val="34"/>
        </w:rPr>
        <w:t xml:space="preserve">Abstract</w:t>
      </w:r>
    </w:p>
    <w:p>
      <w:pPr>
        <w:spacing w:after="240"/>
        <w:jc w:val="center"/>
      </w:pPr>
      <w:r>
        <w:rPr>
          <w:rFonts w:ascii="Times New Roman" w:cs="Times New Roman" w:eastAsia="Times New Roman" w:hAnsi="Times New Roman"/>
          <w:i/>
          <w:iCs/>
          <w:sz w:val="24"/>
          <w:szCs w:val="24"/>
        </w:rPr>
        <w:t xml:space="preserve">EAIOS — An Enterprise AI Operating System</w:t>
      </w:r>
    </w:p>
    <w:p>
      <w:pPr>
        <w:spacing w:after="40"/>
        <w:jc w:val="center"/>
      </w:pPr>
      <w:r>
        <w:rPr>
          <w:rFonts w:ascii="Times New Roman" w:cs="Times New Roman" w:eastAsia="Times New Roman" w:hAnsi="Times New Roman"/>
          <w:b/>
          <w:bCs/>
          <w:sz w:val="22"/>
          <w:szCs w:val="22"/>
        </w:rPr>
        <w:t xml:space="preserve">Major Project — First Internal Review</w:t>
      </w:r>
    </w:p>
    <w:p>
      <w:pPr>
        <w:spacing w:after="300"/>
        <w:jc w:val="center"/>
      </w:pPr>
      <w:r>
        <w:rPr>
          <w:rFonts w:ascii="Times New Roman" w:cs="Times New Roman" w:eastAsia="Times New Roman" w:hAnsi="Times New Roman"/>
          <w:sz w:val="20"/>
          <w:szCs w:val="20"/>
        </w:rPr>
        <w:t xml:space="preserve">Review Date: 5 August 2026</w:t>
      </w:r>
    </w:p>
    <w:p>
      <w:pPr>
        <w:spacing w:after="20"/>
        <w:jc w:val="center"/>
      </w:pPr>
      <w:r>
        <w:rPr>
          <w:rFonts w:ascii="Times New Roman" w:cs="Times New Roman" w:eastAsia="Times New Roman" w:hAnsi="Times New Roman"/>
          <w:i/>
          <w:iCs/>
          <w:sz w:val="20"/>
          <w:szCs w:val="20"/>
        </w:rPr>
        <w:t xml:space="preserve">Submitted by</w:t>
      </w:r>
    </w:p>
    <w:p>
      <w:pPr>
        <w:spacing w:after="20"/>
        <w:jc w:val="center"/>
      </w:pPr>
      <w:r>
        <w:rPr>
          <w:rFonts w:ascii="Times New Roman" w:cs="Times New Roman" w:eastAsia="Times New Roman" w:hAnsi="Times New Roman"/>
          <w:b/>
          <w:bCs/>
          <w:sz w:val="22"/>
          <w:szCs w:val="22"/>
        </w:rPr>
        <w:t xml:space="preserve">Darshan Dalvi</w:t>
      </w:r>
    </w:p>
    <w:p>
      <w:pPr>
        <w:spacing w:after="20"/>
        <w:jc w:val="center"/>
      </w:pPr>
      <w:r>
        <w:rPr>
          <w:rFonts w:ascii="Times New Roman" w:cs="Times New Roman" w:eastAsia="Times New Roman" w:hAnsi="Times New Roman"/>
          <w:b/>
          <w:bCs/>
          <w:sz w:val="22"/>
          <w:szCs w:val="22"/>
        </w:rPr>
        <w:t xml:space="preserve">[Teammate Name 2]</w:t>
      </w:r>
    </w:p>
    <w:p>
      <w:pPr>
        <w:spacing w:after="20"/>
        <w:jc w:val="center"/>
      </w:pPr>
      <w:r>
        <w:rPr>
          <w:rFonts w:ascii="Times New Roman" w:cs="Times New Roman" w:eastAsia="Times New Roman" w:hAnsi="Times New Roman"/>
          <w:b/>
          <w:bCs/>
          <w:sz w:val="22"/>
          <w:szCs w:val="22"/>
        </w:rPr>
        <w:t xml:space="preserve">[Teammate Name 3]</w:t>
      </w:r>
    </w:p>
    <w:p>
      <w:pPr>
        <w:spacing w:before="200"/>
        <w:jc w:val="center"/>
      </w:pPr>
      <w:r>
        <w:rPr>
          <w:rFonts w:ascii="Times New Roman" w:cs="Times New Roman" w:eastAsia="Times New Roman" w:hAnsi="Times New Roman"/>
          <w:sz w:val="20"/>
          <w:szCs w:val="20"/>
        </w:rPr>
        <w:t xml:space="preserve">Project Guide: [Guide Name]</w:t>
      </w:r>
    </w:p>
    <w:p>
      <w:pPr>
        <w:spacing w:after="60"/>
        <w:jc w:val="center"/>
      </w:pPr>
      <w:r>
        <w:rPr>
          <w:rFonts w:ascii="Times New Roman" w:cs="Times New Roman" w:eastAsia="Times New Roman" w:hAnsi="Times New Roman"/>
          <w:sz w:val="20"/>
          <w:szCs w:val="20"/>
        </w:rPr>
        <w:t xml:space="preserve">Project Coordinator: Mrs. Sharayu Patil    |    HOD: Mrs. C. M. Pandit</w:t>
      </w:r>
    </w:p>
    <w:p>
      <w:r>
        <w:br w:type="page"/>
      </w:r>
    </w:p>
    <w:p>
      <w:pPr>
        <w:pStyle w:val="Heading1"/>
        <w:spacing w:after="120" w:before="260"/>
      </w:pPr>
      <w:r>
        <w:rPr>
          <w:rFonts w:ascii="Times New Roman" w:cs="Times New Roman" w:eastAsia="Times New Roman" w:hAnsi="Times New Roman"/>
          <w:b/>
          <w:bCs/>
          <w:color w:val="1F3864"/>
          <w:sz w:val="28"/>
          <w:szCs w:val="28"/>
        </w:rPr>
        <w:t xml:space="preserve">Project Title</w:t>
      </w:r>
    </w:p>
    <w:p>
      <w:pPr>
        <w:spacing w:after="120" w:line="300"/>
        <w:jc w:val="both"/>
      </w:pPr>
      <w:r>
        <w:rPr>
          <w:rFonts w:ascii="Times New Roman" w:cs="Times New Roman" w:eastAsia="Times New Roman" w:hAnsi="Times New Roman"/>
          <w:b/>
          <w:bCs/>
          <w:i w:val="false"/>
          <w:iCs w:val="false"/>
          <w:sz w:val="22"/>
          <w:szCs w:val="22"/>
        </w:rPr>
        <w:t xml:space="preserve">EAIOS: A Multi-Tenant Enterprise AI Operating System with Hybrid Retrieval-Augmented Generation, Multi-Agent Orchestration and Database-Enforced Tenant Isolation</w:t>
      </w:r>
    </w:p>
    <w:p>
      <w:pPr>
        <w:pStyle w:val="Heading1"/>
        <w:spacing w:after="120" w:before="260"/>
      </w:pPr>
      <w:r>
        <w:rPr>
          <w:rFonts w:ascii="Times New Roman" w:cs="Times New Roman" w:eastAsia="Times New Roman" w:hAnsi="Times New Roman"/>
          <w:b/>
          <w:bCs/>
          <w:color w:val="1F3864"/>
          <w:sz w:val="28"/>
          <w:szCs w:val="28"/>
        </w:rPr>
        <w:t xml:space="preserve">Abstract</w:t>
      </w:r>
    </w:p>
    <w:p>
      <w:pPr>
        <w:spacing w:after="120" w:line="300"/>
        <w:jc w:val="both"/>
      </w:pPr>
      <w:r>
        <w:rPr>
          <w:rFonts w:ascii="Times New Roman" w:cs="Times New Roman" w:eastAsia="Times New Roman" w:hAnsi="Times New Roman"/>
          <w:b w:val="false"/>
          <w:bCs w:val="false"/>
          <w:i w:val="false"/>
          <w:iCs w:val="false"/>
          <w:sz w:val="22"/>
          <w:szCs w:val="22"/>
        </w:rPr>
        <w:t xml:space="preserve">Enterprises are adopting generative AI faster than they are able to operationalise it. McKinsey's 2025 global survey reports that 78% of organisations now use AI in at least one business function, yet only about one-third have scaled it across the organisation and barely 6% report enterprise-wide deployment. The gap is not model capability. It is the surrounding system: answers that cannot be traced to a source document, knowledge scattered across incompatible tools, and — for any platform serving more than one organisation — the unresolved question of whether one customer's data can ever surface in another customer's answer.</w:t>
      </w:r>
    </w:p>
    <w:p>
      <w:pPr>
        <w:spacing w:after="120" w:line="300"/>
        <w:jc w:val="both"/>
      </w:pPr>
      <w:r>
        <w:rPr>
          <w:rFonts w:ascii="Times New Roman" w:cs="Times New Roman" w:eastAsia="Times New Roman" w:hAnsi="Times New Roman"/>
          <w:b w:val="false"/>
          <w:bCs w:val="false"/>
          <w:i w:val="false"/>
          <w:iCs w:val="false"/>
          <w:sz w:val="22"/>
          <w:szCs w:val="22"/>
        </w:rPr>
        <w:t xml:space="preserve">This project presents EAIOS (Enterprise AI Operating System), a multi-tenant platform that unifies document ingestion, hybrid retrieval-augmented generation (RAG), a fleet of specialised AI agents, natural-language-to-SQL querying, a knowledge graph and workflow automation behind a single browser-based desktop interface. Every organisation that signs up receives an isolated workspace; every answer the system produces is grounded in the organisation's own documents and returned with citations and a confidence score rather than as unattributed text.</w:t>
      </w:r>
    </w:p>
    <w:p>
      <w:pPr>
        <w:spacing w:after="120" w:line="300"/>
        <w:jc w:val="both"/>
      </w:pPr>
      <w:r>
        <w:rPr>
          <w:rFonts w:ascii="Times New Roman" w:cs="Times New Roman" w:eastAsia="Times New Roman" w:hAnsi="Times New Roman"/>
          <w:b w:val="false"/>
          <w:bCs w:val="false"/>
          <w:i w:val="false"/>
          <w:iCs w:val="false"/>
          <w:sz w:val="22"/>
          <w:szCs w:val="22"/>
        </w:rPr>
        <w:t xml:space="preserve">The system's principal contribution is its treatment of tenant isolation as a defence-in-depth property rather than an application-level convention. Isolation is enforced at three independent layers: an ORM-level query filter that scopes every database read and write to the calling workspace; a fail-closed guard that rewrites model-generated SQL so it can only reference the caller's own rows; and, underneath both, PostgreSQL Row-Level Security policies applied through a dedicated low-privilege database role, so that even a query which escapes the upper two layers physically cannot read another tenant's data. The necessity of this third layer was established empirically: during structured security testing, a schema-qualified table reference (for example, public.tasks) was found to bypass the regular-expression guard and return the records of every workspace on the deployment. The vulnerability was reproduced, fixed, regression-tested and then rendered structurally impossible by the database-level policy.</w:t>
      </w:r>
    </w:p>
    <w:p>
      <w:pPr>
        <w:spacing w:after="120" w:line="300"/>
        <w:jc w:val="both"/>
      </w:pPr>
      <w:r>
        <w:rPr>
          <w:rFonts w:ascii="Times New Roman" w:cs="Times New Roman" w:eastAsia="Times New Roman" w:hAnsi="Times New Roman"/>
          <w:b w:val="false"/>
          <w:bCs w:val="false"/>
          <w:i w:val="false"/>
          <w:iCs w:val="false"/>
          <w:sz w:val="22"/>
          <w:szCs w:val="22"/>
        </w:rPr>
        <w:t xml:space="preserve">The implementation comprises a FastAPI and PostgreSQL backend of approximately 12,600 lines exposing 80 REST endpoints across 21 relational tables, and a React and TypeScript front end of approximately 9,400 lines presenting eighteen applications inside an operating-system metaphor. Retrieval combines lexical and dense vector search; tabular content extracted from uploaded spreadsheets and PDFs is materialised into real SQL tables so that structured questions bypass text chunking entirely. Correctness is defended by a suite of 354 automated tests, and reliability by graceful degradation: when the language-model provider is unreachable, the system returns cited source excerpts and declares the degradation rather than fabricating an answer.</w:t>
      </w:r>
    </w:p>
    <w:p>
      <w:pPr>
        <w:spacing w:after="120" w:line="300"/>
        <w:jc w:val="both"/>
      </w:pPr>
      <w:r>
        <w:rPr>
          <w:rFonts w:ascii="Times New Roman" w:cs="Times New Roman" w:eastAsia="Times New Roman" w:hAnsi="Times New Roman"/>
          <w:b w:val="false"/>
          <w:bCs w:val="false"/>
          <w:i w:val="false"/>
          <w:iCs w:val="false"/>
          <w:sz w:val="22"/>
          <w:szCs w:val="22"/>
        </w:rPr>
        <w:t xml:space="preserve">Evaluation was carried out as a ten-pass structured quality audit against a live deployment and a faithful PostgreSQL replica, covering functionality, API contracts, database integrity, end-to-end data fidelity, security, performance, resilience and accessibility. The audit produced twenty-four documented findings, including two of blocker severity, all of which were remediated and verified. Measured outcomes include the elimination of an N+1 query pattern on the task board (202 database round trips reduced to 2), a reduction of the initial JavaScript payload from 861 KB to 302 KB through route-level code splitting, and confirmed cross-tenant isolation under an adversarial query carrying no tenant filter whatsoever.</w:t>
      </w:r>
    </w:p>
    <w:p>
      <w:pPr>
        <w:spacing w:after="120" w:line="300"/>
        <w:jc w:val="both"/>
      </w:pPr>
      <w:r>
        <w:rPr>
          <w:rFonts w:ascii="Times New Roman" w:cs="Times New Roman" w:eastAsia="Times New Roman" w:hAnsi="Times New Roman"/>
          <w:b w:val="false"/>
          <w:bCs w:val="false"/>
          <w:i w:val="false"/>
          <w:iCs w:val="false"/>
          <w:sz w:val="22"/>
          <w:szCs w:val="22"/>
        </w:rPr>
        <w:t xml:space="preserve">EAIOS demonstrates that a grounded, auditable and genuinely isolated multi-tenant AI platform can be assembled from open components, and that the isolation guarantee such a platform advertises must be enforced by the database itself rather than asserted by application code.</w:t>
      </w:r>
    </w:p>
    <w:p>
      <w:pPr>
        <w:pStyle w:val="Heading1"/>
        <w:spacing w:after="120" w:before="260"/>
      </w:pPr>
      <w:r>
        <w:rPr>
          <w:rFonts w:ascii="Times New Roman" w:cs="Times New Roman" w:eastAsia="Times New Roman" w:hAnsi="Times New Roman"/>
          <w:b/>
          <w:bCs/>
          <w:color w:val="1F3864"/>
          <w:sz w:val="28"/>
          <w:szCs w:val="28"/>
        </w:rPr>
        <w:t xml:space="preserve">Keywords</w:t>
      </w:r>
    </w:p>
    <w:p>
      <w:pPr>
        <w:spacing w:after="120" w:line="300"/>
        <w:jc w:val="both"/>
      </w:pPr>
      <w:r>
        <w:rPr>
          <w:rFonts w:ascii="Times New Roman" w:cs="Times New Roman" w:eastAsia="Times New Roman" w:hAnsi="Times New Roman"/>
          <w:b w:val="false"/>
          <w:bCs w:val="false"/>
          <w:i/>
          <w:iCs/>
          <w:sz w:val="22"/>
          <w:szCs w:val="22"/>
        </w:rPr>
        <w:t xml:space="preserve">Retrieval-Augmented Generation; Multi-Agent Systems; Multi-Tenant Architecture; Row-Level Security; Large Language Models; Text-to-SQL; Knowledge Graph; Enterprise Search; Data Isolation; Software Quality Assurance.</w:t>
      </w:r>
    </w:p>
    <w:p>
      <w:r>
        <w:br w:type="page"/>
      </w:r>
    </w:p>
    <w:p>
      <w:pPr>
        <w:pStyle w:val="Heading1"/>
        <w:spacing w:after="120" w:before="260"/>
      </w:pPr>
      <w:r>
        <w:rPr>
          <w:rFonts w:ascii="Times New Roman" w:cs="Times New Roman" w:eastAsia="Times New Roman" w:hAnsi="Times New Roman"/>
          <w:b/>
          <w:bCs/>
          <w:color w:val="1F3864"/>
          <w:sz w:val="28"/>
          <w:szCs w:val="28"/>
        </w:rPr>
        <w:t xml:space="preserve">Problem Statement</w:t>
      </w:r>
    </w:p>
    <w:p>
      <w:pPr>
        <w:spacing w:after="120" w:line="300"/>
        <w:jc w:val="both"/>
      </w:pPr>
      <w:r>
        <w:rPr>
          <w:rFonts w:ascii="Times New Roman" w:cs="Times New Roman" w:eastAsia="Times New Roman" w:hAnsi="Times New Roman"/>
          <w:b w:val="false"/>
          <w:bCs w:val="false"/>
          <w:i w:val="false"/>
          <w:iCs w:val="false"/>
          <w:sz w:val="22"/>
          <w:szCs w:val="22"/>
        </w:rPr>
        <w:t xml:space="preserve">Organisations that wish to apply large language models to their own documents face three unresolved problems. First, a general-purpose model has no knowledge of internal material and, when asked, produces fluent but unverifiable text. Second, the knowledge itself is fragmented across file shares, mailboxes and spreadsheets, so no single interface can answer a question that spans them. Third, any platform that serves multiple client organisations from shared infrastructure must guarantee that one client's confidential material can never appear in another client's results — a guarantee that is routinely asserted in application code and rarely enforced by the data layer.</w:t>
      </w:r>
    </w:p>
    <w:p>
      <w:pPr>
        <w:pStyle w:val="Heading1"/>
        <w:spacing w:after="120" w:before="260"/>
      </w:pPr>
      <w:r>
        <w:rPr>
          <w:rFonts w:ascii="Times New Roman" w:cs="Times New Roman" w:eastAsia="Times New Roman" w:hAnsi="Times New Roman"/>
          <w:b/>
          <w:bCs/>
          <w:color w:val="1F3864"/>
          <w:sz w:val="28"/>
          <w:szCs w:val="28"/>
        </w:rPr>
        <w:t xml:space="preserve">Objectives</w:t>
      </w:r>
    </w:p>
    <w:p>
      <w:pPr>
        <w:pStyle w:val="ListParagraph"/>
        <w:numPr>
          <w:ilvl w:val="0"/>
          <w:numId w:val="2"/>
        </w:numPr>
        <w:spacing w:after="70" w:line="290"/>
      </w:pPr>
      <w:r>
        <w:rPr>
          <w:rFonts w:ascii="Times New Roman" w:cs="Times New Roman" w:eastAsia="Times New Roman" w:hAnsi="Times New Roman"/>
          <w:sz w:val="22"/>
          <w:szCs w:val="22"/>
        </w:rPr>
        <w:t xml:space="preserve">To design and implement a multi-tenant platform in which each client organisation receives a cryptographically separated workspace, with isolation enforced independently at the application, query-rewriting and database layers.</w:t>
      </w:r>
    </w:p>
    <w:p>
      <w:pPr>
        <w:pStyle w:val="ListParagraph"/>
        <w:numPr>
          <w:ilvl w:val="0"/>
          <w:numId w:val="2"/>
        </w:numPr>
        <w:spacing w:after="70" w:line="290"/>
      </w:pPr>
      <w:r>
        <w:rPr>
          <w:rFonts w:ascii="Times New Roman" w:cs="Times New Roman" w:eastAsia="Times New Roman" w:hAnsi="Times New Roman"/>
          <w:sz w:val="22"/>
          <w:szCs w:val="22"/>
        </w:rPr>
        <w:t xml:space="preserve">To implement a hybrid retrieval-augmented generation pipeline that combines lexical and dense vector retrieval and returns every answer with document-level citations and an explicit confidence score.</w:t>
      </w:r>
    </w:p>
    <w:p>
      <w:pPr>
        <w:pStyle w:val="ListParagraph"/>
        <w:numPr>
          <w:ilvl w:val="0"/>
          <w:numId w:val="2"/>
        </w:numPr>
        <w:spacing w:after="70" w:line="290"/>
      </w:pPr>
      <w:r>
        <w:rPr>
          <w:rFonts w:ascii="Times New Roman" w:cs="Times New Roman" w:eastAsia="Times New Roman" w:hAnsi="Times New Roman"/>
          <w:sz w:val="22"/>
          <w:szCs w:val="22"/>
        </w:rPr>
        <w:t xml:space="preserve">To orchestrate a fleet of specialised agents — document question-answering, SQL, research, reporting, planning, email drafting and meeting summarisation — under a routing layer that selects and, where useful, parallelises them.</w:t>
      </w:r>
    </w:p>
    <w:p>
      <w:pPr>
        <w:pStyle w:val="ListParagraph"/>
        <w:numPr>
          <w:ilvl w:val="0"/>
          <w:numId w:val="2"/>
        </w:numPr>
        <w:spacing w:after="70" w:line="290"/>
      </w:pPr>
      <w:r>
        <w:rPr>
          <w:rFonts w:ascii="Times New Roman" w:cs="Times New Roman" w:eastAsia="Times New Roman" w:hAnsi="Times New Roman"/>
          <w:sz w:val="22"/>
          <w:szCs w:val="22"/>
        </w:rPr>
        <w:t xml:space="preserve">To extract tabular content from uploaded documents into queryable SQL tables so that quantitative questions are answered by computation rather than by text similarity.</w:t>
      </w:r>
    </w:p>
    <w:p>
      <w:pPr>
        <w:pStyle w:val="ListParagraph"/>
        <w:numPr>
          <w:ilvl w:val="0"/>
          <w:numId w:val="2"/>
        </w:numPr>
        <w:spacing w:after="70" w:line="290"/>
      </w:pPr>
      <w:r>
        <w:rPr>
          <w:rFonts w:ascii="Times New Roman" w:cs="Times New Roman" w:eastAsia="Times New Roman" w:hAnsi="Times New Roman"/>
          <w:sz w:val="22"/>
          <w:szCs w:val="22"/>
        </w:rPr>
        <w:t xml:space="preserve">To validate the system through a structured, evidence-based quality audit spanning functionality, security, performance, data integrity, resilience and accessibility.</w:t>
      </w:r>
    </w:p>
    <w:p>
      <w:pPr>
        <w:pStyle w:val="ListParagraph"/>
        <w:numPr>
          <w:ilvl w:val="0"/>
          <w:numId w:val="2"/>
        </w:numPr>
        <w:spacing w:after="70" w:line="290"/>
      </w:pPr>
      <w:r>
        <w:rPr>
          <w:rFonts w:ascii="Times New Roman" w:cs="Times New Roman" w:eastAsia="Times New Roman" w:hAnsi="Times New Roman"/>
          <w:sz w:val="22"/>
          <w:szCs w:val="22"/>
        </w:rPr>
        <w:t xml:space="preserve">To ensure the system degrades honestly: when an external model provider fails, the platform returns grounded source material and states that the degradation has occurred.</w:t>
      </w:r>
    </w:p>
    <w:p>
      <w:pPr>
        <w:pStyle w:val="Heading1"/>
        <w:spacing w:after="120" w:before="260"/>
      </w:pPr>
      <w:r>
        <w:rPr>
          <w:rFonts w:ascii="Times New Roman" w:cs="Times New Roman" w:eastAsia="Times New Roman" w:hAnsi="Times New Roman"/>
          <w:b/>
          <w:bCs/>
          <w:color w:val="1F3864"/>
          <w:sz w:val="28"/>
          <w:szCs w:val="28"/>
        </w:rPr>
        <w:t xml:space="preserve">Scope of the Project</w:t>
      </w:r>
    </w:p>
    <w:p>
      <w:pPr>
        <w:spacing w:after="120" w:line="300"/>
        <w:jc w:val="both"/>
      </w:pPr>
      <w:r>
        <w:rPr>
          <w:rFonts w:ascii="Times New Roman" w:cs="Times New Roman" w:eastAsia="Times New Roman" w:hAnsi="Times New Roman"/>
          <w:b w:val="false"/>
          <w:bCs w:val="false"/>
          <w:i w:val="false"/>
          <w:iCs w:val="false"/>
          <w:sz w:val="22"/>
          <w:szCs w:val="22"/>
        </w:rPr>
        <w:t xml:space="preserve">The project covers the design, implementation, security hardening and empirical evaluation of a working multi-tenant platform deployed to a public cloud host. It includes document ingestion for PDF, DOCX, PPTX, XLSX, CSV, image and plain-text formats; hybrid retrieval; agent orchestration; a natural-language SQL interface; a knowledge graph; workflow automation; role-based access control across four roles; subscription plan enforcement; and an audit trail. Training or fine-tuning of foundation models is outside the scope: the system is model-agnostic and consumes language models through a provider abstraction, which is a deliberate architectural decision rather than a limitation.</w:t>
      </w:r>
    </w:p>
    <w:p>
      <w:pPr>
        <w:pStyle w:val="Heading1"/>
        <w:spacing w:after="120" w:before="260"/>
      </w:pPr>
      <w:r>
        <w:rPr>
          <w:rFonts w:ascii="Times New Roman" w:cs="Times New Roman" w:eastAsia="Times New Roman" w:hAnsi="Times New Roman"/>
          <w:b/>
          <w:bCs/>
          <w:color w:val="1F3864"/>
          <w:sz w:val="28"/>
          <w:szCs w:val="28"/>
        </w:rPr>
        <w:t xml:space="preserve">Expected Outcome</w:t>
      </w:r>
    </w:p>
    <w:p>
      <w:pPr>
        <w:spacing w:after="120" w:line="300"/>
        <w:jc w:val="both"/>
      </w:pPr>
      <w:r>
        <w:rPr>
          <w:rFonts w:ascii="Times New Roman" w:cs="Times New Roman" w:eastAsia="Times New Roman" w:hAnsi="Times New Roman"/>
          <w:b w:val="false"/>
          <w:bCs w:val="false"/>
          <w:i w:val="false"/>
          <w:iCs w:val="false"/>
          <w:sz w:val="22"/>
          <w:szCs w:val="22"/>
        </w:rPr>
        <w:t xml:space="preserve">A deployed, tested and documented enterprise AI platform, together with empirical evidence that its central claim — that a tenant's data remains that tenant's data — holds under adversarial conditions rather than merely under normal use.</w:t>
      </w:r>
    </w:p>
    <w:sectPr>
      <w:pgSz w:w="11906" w:h="16838" w:orient="portrait"/>
      <w:pgMar w:top="108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2026-08-01T02:57:32.258Z</dcterms:created>
  <dcterms:modified xsi:type="dcterms:W3CDTF">2026-08-01T02:57:32.259Z</dcterms:modified>
</cp:coreProperties>
</file>

<file path=docProps/custom.xml><?xml version="1.0" encoding="utf-8"?>
<Properties xmlns="http://schemas.openxmlformats.org/officeDocument/2006/custom-properties" xmlns:vt="http://schemas.openxmlformats.org/officeDocument/2006/docPropsVTypes"/>
</file>