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Vishwaniketan's Institute of Management Entrepreneurship &amp; Engineering Technology (iMEET)</w:t>
      </w:r>
    </w:p>
    <w:p>
      <w:pPr>
        <w:spacing w:after="60"/>
        <w:jc w:val="center"/>
      </w:pPr>
      <w:r>
        <w:rPr>
          <w:rFonts w:ascii="Times New Roman" w:cs="Times New Roman" w:eastAsia="Times New Roman" w:hAnsi="Times New Roman"/>
          <w:b w:val="false"/>
          <w:bCs w:val="false"/>
          <w:sz w:val="20"/>
          <w:szCs w:val="20"/>
        </w:rPr>
        <w:t xml:space="preserve">Affiliated to University of Mumbai, Approved by AICTE, New Delhi</w:t>
      </w:r>
    </w:p>
    <w:p>
      <w:pPr>
        <w:spacing w:after="260"/>
        <w:jc w:val="center"/>
      </w:pPr>
      <w:r>
        <w:rPr>
          <w:rFonts w:ascii="Times New Roman" w:cs="Times New Roman" w:eastAsia="Times New Roman" w:hAnsi="Times New Roman"/>
          <w:b/>
          <w:bCs/>
          <w:sz w:val="20"/>
          <w:szCs w:val="20"/>
        </w:rPr>
        <w:t xml:space="preserve">Department of Computer Engineering</w:t>
      </w:r>
    </w:p>
    <w:p>
      <w:pPr>
        <w:spacing w:after="80" w:before="200"/>
        <w:jc w:val="center"/>
      </w:pPr>
      <w:r>
        <w:rPr>
          <w:rFonts w:ascii="Times New Roman" w:cs="Times New Roman" w:eastAsia="Times New Roman" w:hAnsi="Times New Roman"/>
          <w:b/>
          <w:bCs/>
          <w:sz w:val="34"/>
          <w:szCs w:val="34"/>
        </w:rPr>
        <w:t xml:space="preserve">Secondary Research</w:t>
      </w:r>
    </w:p>
    <w:p>
      <w:pPr>
        <w:spacing w:after="240"/>
        <w:jc w:val="center"/>
      </w:pPr>
      <w:r>
        <w:rPr>
          <w:rFonts w:ascii="Times New Roman" w:cs="Times New Roman" w:eastAsia="Times New Roman" w:hAnsi="Times New Roman"/>
          <w:i/>
          <w:iCs/>
          <w:sz w:val="24"/>
          <w:szCs w:val="24"/>
        </w:rPr>
        <w:t xml:space="preserve">EAIOS — An Enterprise AI Operating System</w:t>
      </w:r>
    </w:p>
    <w:p>
      <w:pPr>
        <w:spacing w:after="40"/>
        <w:jc w:val="center"/>
      </w:pPr>
      <w:r>
        <w:rPr>
          <w:rFonts w:ascii="Times New Roman" w:cs="Times New Roman" w:eastAsia="Times New Roman" w:hAnsi="Times New Roman"/>
          <w:b/>
          <w:bCs/>
          <w:sz w:val="22"/>
          <w:szCs w:val="22"/>
        </w:rPr>
        <w:t xml:space="preserve">Major Project — First Internal Review</w:t>
      </w:r>
    </w:p>
    <w:p>
      <w:pPr>
        <w:spacing w:after="300"/>
        <w:jc w:val="center"/>
      </w:pPr>
      <w:r>
        <w:rPr>
          <w:rFonts w:ascii="Times New Roman" w:cs="Times New Roman" w:eastAsia="Times New Roman" w:hAnsi="Times New Roman"/>
          <w:sz w:val="20"/>
          <w:szCs w:val="20"/>
        </w:rPr>
        <w:t xml:space="preserve">Review Date: 5 August 2026</w:t>
      </w:r>
    </w:p>
    <w:p>
      <w:pPr>
        <w:spacing w:after="20"/>
        <w:jc w:val="center"/>
      </w:pPr>
      <w:r>
        <w:rPr>
          <w:rFonts w:ascii="Times New Roman" w:cs="Times New Roman" w:eastAsia="Times New Roman" w:hAnsi="Times New Roman"/>
          <w:i/>
          <w:iCs/>
          <w:sz w:val="20"/>
          <w:szCs w:val="20"/>
        </w:rPr>
        <w:t xml:space="preserve">Submitted by</w:t>
      </w:r>
    </w:p>
    <w:p>
      <w:pPr>
        <w:spacing w:after="20"/>
        <w:jc w:val="center"/>
      </w:pPr>
      <w:r>
        <w:rPr>
          <w:rFonts w:ascii="Times New Roman" w:cs="Times New Roman" w:eastAsia="Times New Roman" w:hAnsi="Times New Roman"/>
          <w:b/>
          <w:bCs/>
          <w:sz w:val="22"/>
          <w:szCs w:val="22"/>
        </w:rPr>
        <w:t xml:space="preserve">Darshan Dalvi</w:t>
      </w:r>
    </w:p>
    <w:p>
      <w:pPr>
        <w:spacing w:after="20"/>
        <w:jc w:val="center"/>
      </w:pPr>
      <w:r>
        <w:rPr>
          <w:rFonts w:ascii="Times New Roman" w:cs="Times New Roman" w:eastAsia="Times New Roman" w:hAnsi="Times New Roman"/>
          <w:b/>
          <w:bCs/>
          <w:sz w:val="22"/>
          <w:szCs w:val="22"/>
        </w:rPr>
        <w:t xml:space="preserve">[Teammate Name 2]</w:t>
      </w:r>
    </w:p>
    <w:p>
      <w:pPr>
        <w:spacing w:after="20"/>
        <w:jc w:val="center"/>
      </w:pPr>
      <w:r>
        <w:rPr>
          <w:rFonts w:ascii="Times New Roman" w:cs="Times New Roman" w:eastAsia="Times New Roman" w:hAnsi="Times New Roman"/>
          <w:b/>
          <w:bCs/>
          <w:sz w:val="22"/>
          <w:szCs w:val="22"/>
        </w:rPr>
        <w:t xml:space="preserve">[Teammate Name 3]</w:t>
      </w:r>
    </w:p>
    <w:p>
      <w:pPr>
        <w:spacing w:before="200"/>
        <w:jc w:val="center"/>
      </w:pPr>
      <w:r>
        <w:rPr>
          <w:rFonts w:ascii="Times New Roman" w:cs="Times New Roman" w:eastAsia="Times New Roman" w:hAnsi="Times New Roman"/>
          <w:sz w:val="20"/>
          <w:szCs w:val="20"/>
        </w:rPr>
        <w:t xml:space="preserve">Project Guide: [Guide Name]</w:t>
      </w:r>
    </w:p>
    <w:p>
      <w:pPr>
        <w:spacing w:after="60"/>
        <w:jc w:val="center"/>
      </w:pPr>
      <w:r>
        <w:rPr>
          <w:rFonts w:ascii="Times New Roman" w:cs="Times New Roman" w:eastAsia="Times New Roman" w:hAnsi="Times New Roman"/>
          <w:sz w:val="20"/>
          <w:szCs w:val="20"/>
        </w:rPr>
        <w:t xml:space="preserve">Project Coordinator: Mrs. Sharayu Patil    |    HOD: Mrs. C. M. Pandit</w:t>
      </w:r>
    </w:p>
    <w:p>
      <w:r>
        <w:br w:type="page"/>
      </w:r>
    </w:p>
    <w:p>
      <w:pPr>
        <w:pStyle w:val="Heading1"/>
        <w:spacing w:after="120" w:before="260"/>
      </w:pPr>
      <w:r>
        <w:rPr>
          <w:rFonts w:ascii="Times New Roman" w:cs="Times New Roman" w:eastAsia="Times New Roman" w:hAnsi="Times New Roman"/>
          <w:b/>
          <w:bCs/>
          <w:color w:val="1F3864"/>
          <w:sz w:val="28"/>
          <w:szCs w:val="28"/>
        </w:rPr>
        <w:t xml:space="preserve">1. Purpose and Method</w:t>
      </w:r>
    </w:p>
    <w:p>
      <w:pPr>
        <w:spacing w:after="120" w:line="300"/>
        <w:jc w:val="both"/>
      </w:pPr>
      <w:r>
        <w:rPr>
          <w:rFonts w:ascii="Times New Roman" w:cs="Times New Roman" w:eastAsia="Times New Roman" w:hAnsi="Times New Roman"/>
          <w:b w:val="false"/>
          <w:bCs w:val="false"/>
          <w:i w:val="false"/>
          <w:iCs w:val="false"/>
          <w:sz w:val="22"/>
          <w:szCs w:val="22"/>
        </w:rPr>
        <w:t xml:space="preserve">Secondary research examines evidence that already exists — published studies, industry surveys, standards bodies and the documentation of comparable products — in order to establish that the problem is real, quantify it, and identify what existing work has and has not solved. This chapter draws on three classes of source: peer-reviewed literature from NeurIPS, EMNLP, ICLR and ACM Computing Surveys; industry survey data from McKinsey's global State of AI study; and security guidance from OWASP. Every source cited here is listed with its venue in the References section and can be independently retrieved.</w:t>
      </w:r>
    </w:p>
    <w:p>
      <w:pPr>
        <w:pStyle w:val="Heading1"/>
        <w:spacing w:after="120" w:before="260"/>
      </w:pPr>
      <w:r>
        <w:rPr>
          <w:rFonts w:ascii="Times New Roman" w:cs="Times New Roman" w:eastAsia="Times New Roman" w:hAnsi="Times New Roman"/>
          <w:b/>
          <w:bCs/>
          <w:color w:val="1F3864"/>
          <w:sz w:val="28"/>
          <w:szCs w:val="28"/>
        </w:rPr>
        <w:t xml:space="preserve">2. Market Evidence: Adoption Without Operationalisation</w:t>
      </w:r>
    </w:p>
    <w:p>
      <w:pPr>
        <w:spacing w:after="120" w:line="300"/>
        <w:jc w:val="both"/>
      </w:pPr>
      <w:r>
        <w:rPr>
          <w:rFonts w:ascii="Times New Roman" w:cs="Times New Roman" w:eastAsia="Times New Roman" w:hAnsi="Times New Roman"/>
          <w:b w:val="false"/>
          <w:bCs w:val="false"/>
          <w:i w:val="false"/>
          <w:iCs w:val="false"/>
          <w:sz w:val="22"/>
          <w:szCs w:val="22"/>
        </w:rPr>
        <w:t xml:space="preserve">McKinsey's State of AI global survey, conducted between 25 June and 29 July 2025 with 1,993 respondents across 105 nations, provides the clearest quantitative picture of enterprise adoption. Its findings frame the problem this project addresses.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600"/>
        <w:gridCol w:w="1250"/>
        <w:gridCol w:w="4650"/>
      </w:tblGrid>
      <w:tr>
        <w:trPr>
          <w:tblHeader/>
        </w:trPr>
        <w:tc>
          <w:tcPr>
            <w:tcW w:type="dxa" w:w="2600"/>
            <w:shd w:fill="D9E2F3" w:color="auto"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Indicator</w:t>
            </w:r>
          </w:p>
        </w:tc>
        <w:tc>
          <w:tcPr>
            <w:tcW w:type="dxa" w:w="1250"/>
            <w:shd w:fill="D9E2F3" w:color="auto"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Value</w:t>
            </w:r>
          </w:p>
        </w:tc>
        <w:tc>
          <w:tcPr>
            <w:tcW w:type="dxa" w:w="4650"/>
            <w:shd w:fill="D9E2F3" w:color="auto"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Implication for this project</w:t>
            </w:r>
          </w:p>
        </w:tc>
      </w:tr>
      <w:tr>
        <w:tc>
          <w:tcPr>
            <w:tcW w:type="dxa" w:w="26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Organisations using AI in at least one business function</w:t>
            </w:r>
          </w:p>
        </w:tc>
        <w:tc>
          <w:tcPr>
            <w:tcW w:type="dxa" w:w="12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78%</w:t>
            </w:r>
          </w:p>
        </w:tc>
        <w:tc>
          <w:tcPr>
            <w:tcW w:type="dxa" w:w="46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Adoption is no longer the constraint; the market is past the experimentation stage.</w:t>
            </w:r>
          </w:p>
        </w:tc>
      </w:tr>
      <w:tr>
        <w:tc>
          <w:tcPr>
            <w:tcW w:type="dxa" w:w="26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Organisations using generative AI specifically</w:t>
            </w:r>
          </w:p>
        </w:tc>
        <w:tc>
          <w:tcPr>
            <w:tcW w:type="dxa" w:w="12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79%</w:t>
            </w:r>
          </w:p>
        </w:tc>
        <w:tc>
          <w:tcPr>
            <w:tcW w:type="dxa" w:w="46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Generative models are the dominant modality, so grounding and citation matter.</w:t>
            </w:r>
          </w:p>
        </w:tc>
      </w:tr>
      <w:tr>
        <w:tc>
          <w:tcPr>
            <w:tcW w:type="dxa" w:w="26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Organisations that have scaled AI enterprise-wide</w:t>
            </w:r>
          </w:p>
        </w:tc>
        <w:tc>
          <w:tcPr>
            <w:tcW w:type="dxa" w:w="12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~33% (only ~6% fully)</w:t>
            </w:r>
          </w:p>
        </w:tc>
        <w:tc>
          <w:tcPr>
            <w:tcW w:type="dxa" w:w="46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The bottleneck is operationalisation — exactly the systems problem this project targets.</w:t>
            </w:r>
          </w:p>
        </w:tc>
      </w:tr>
      <w:tr>
        <w:tc>
          <w:tcPr>
            <w:tcW w:type="dxa" w:w="26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Organisations reporting &gt;5% EBIT impact ('AI high performers')</w:t>
            </w:r>
          </w:p>
        </w:tc>
        <w:tc>
          <w:tcPr>
            <w:tcW w:type="dxa" w:w="12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~5.5%</w:t>
            </w:r>
          </w:p>
        </w:tc>
        <w:tc>
          <w:tcPr>
            <w:tcW w:type="dxa" w:w="46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Value is concentrated where AI is integrated into workflow, not used ad hoc.</w:t>
            </w:r>
          </w:p>
        </w:tc>
      </w:tr>
      <w:tr>
        <w:tc>
          <w:tcPr>
            <w:tcW w:type="dxa" w:w="26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Organisations scaling an agentic AI system</w:t>
            </w:r>
          </w:p>
        </w:tc>
        <w:tc>
          <w:tcPr>
            <w:tcW w:type="dxa" w:w="12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23% (a further 39% experimenting)</w:t>
            </w:r>
          </w:p>
        </w:tc>
        <w:tc>
          <w:tcPr>
            <w:tcW w:type="dxa" w:w="46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Multi-agent orchestration is an emerging, not yet standardised, practice.</w:t>
            </w:r>
          </w:p>
        </w:tc>
      </w:tr>
      <w:tr>
        <w:tc>
          <w:tcPr>
            <w:tcW w:type="dxa" w:w="26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Regular use in IT / engineering functions</w:t>
            </w:r>
          </w:p>
        </w:tc>
        <w:tc>
          <w:tcPr>
            <w:tcW w:type="dxa" w:w="12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33%</w:t>
            </w:r>
          </w:p>
        </w:tc>
        <w:tc>
          <w:tcPr>
            <w:tcW w:type="dxa" w:w="46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Technical knowledge work is a validated deployment target.</w:t>
            </w:r>
          </w:p>
        </w:tc>
      </w:tr>
    </w:tbl>
    <w:p>
      <w:pPr>
        <w:spacing w:after="200" w:before="80"/>
        <w:jc w:val="center"/>
      </w:pPr>
      <w:r>
        <w:rPr>
          <w:rFonts w:ascii="Times New Roman" w:cs="Times New Roman" w:eastAsia="Times New Roman" w:hAnsi="Times New Roman"/>
          <w:i/>
          <w:iCs/>
          <w:sz w:val="19"/>
          <w:szCs w:val="19"/>
        </w:rPr>
        <w:t xml:space="preserve">Table 1: Enterprise AI adoption indicators (McKinsey State of AI, Global Survey 2025)</w:t>
      </w:r>
    </w:p>
    <w:p>
      <w:pPr>
        <w:spacing w:after="120" w:line="300"/>
        <w:jc w:val="both"/>
      </w:pPr>
      <w:r>
        <w:rPr>
          <w:rFonts w:ascii="Times New Roman" w:cs="Times New Roman" w:eastAsia="Times New Roman" w:hAnsi="Times New Roman"/>
          <w:b w:val="false"/>
          <w:bCs w:val="false"/>
          <w:i w:val="false"/>
          <w:iCs w:val="false"/>
          <w:sz w:val="22"/>
          <w:szCs w:val="22"/>
        </w:rPr>
        <w:t xml:space="preserve">The central finding is a gap, not a shortage. Three-quarters of organisations use AI; roughly one in sixteen has scaled it. The difference between those two numbers is the space in which a platform like EAIOS is positioned: the missing element is not a better model but the surrounding system of ingestion, grounding, isolation, governance and interface.</w:t>
      </w:r>
    </w:p>
    <w:p>
      <w:pPr>
        <w:pStyle w:val="Heading1"/>
        <w:spacing w:after="120" w:before="260"/>
      </w:pPr>
      <w:r>
        <w:rPr>
          <w:rFonts w:ascii="Times New Roman" w:cs="Times New Roman" w:eastAsia="Times New Roman" w:hAnsi="Times New Roman"/>
          <w:b/>
          <w:bCs/>
          <w:color w:val="1F3864"/>
          <w:sz w:val="28"/>
          <w:szCs w:val="28"/>
        </w:rPr>
        <w:t xml:space="preserve">3. Technical Evidence: What the Literature Establishes</w:t>
      </w:r>
    </w:p>
    <w:p>
      <w:pPr>
        <w:pStyle w:val="Heading2"/>
        <w:spacing w:after="100" w:before="200"/>
      </w:pPr>
      <w:r>
        <w:rPr>
          <w:rFonts w:ascii="Times New Roman" w:cs="Times New Roman" w:eastAsia="Times New Roman" w:hAnsi="Times New Roman"/>
          <w:b/>
          <w:bCs/>
          <w:color w:val="2E5496"/>
          <w:sz w:val="24"/>
          <w:szCs w:val="24"/>
        </w:rPr>
        <w:t xml:space="preserve">3.1 Grounding generation in retrieved evidence</w:t>
      </w:r>
    </w:p>
    <w:p>
      <w:pPr>
        <w:spacing w:after="120" w:line="300"/>
        <w:jc w:val="both"/>
      </w:pPr>
      <w:r>
        <w:rPr>
          <w:rFonts w:ascii="Times New Roman" w:cs="Times New Roman" w:eastAsia="Times New Roman" w:hAnsi="Times New Roman"/>
          <w:b w:val="false"/>
          <w:bCs w:val="false"/>
          <w:i w:val="false"/>
          <w:iCs w:val="false"/>
          <w:sz w:val="22"/>
          <w:szCs w:val="22"/>
        </w:rPr>
        <w:t xml:space="preserve">Lewis et al. (NeurIPS 2020) introduced Retrieval-Augmented Generation, combining a model's parametric knowledge with a non-parametric external corpus retrieved at inference time. The approach is now the standard remedy for applying a general model to private data without retraining it. Gao et al. (2023) survey the field and classify implementations as Naive, Advanced and Modular RAG, examining retrieval, generation and augmentation as three separable concerns — a decomposition this project follows in its pipeline design.</w:t>
      </w:r>
    </w:p>
    <w:p>
      <w:pPr>
        <w:pStyle w:val="Heading2"/>
        <w:spacing w:after="100" w:before="200"/>
      </w:pPr>
      <w:r>
        <w:rPr>
          <w:rFonts w:ascii="Times New Roman" w:cs="Times New Roman" w:eastAsia="Times New Roman" w:hAnsi="Times New Roman"/>
          <w:b/>
          <w:bCs/>
          <w:color w:val="2E5496"/>
          <w:sz w:val="24"/>
          <w:szCs w:val="24"/>
        </w:rPr>
        <w:t xml:space="preserve">3.2 Why hybrid retrieval rather than vectors alone</w:t>
      </w:r>
    </w:p>
    <w:p>
      <w:pPr>
        <w:spacing w:after="120" w:line="300"/>
        <w:jc w:val="both"/>
      </w:pPr>
      <w:r>
        <w:rPr>
          <w:rFonts w:ascii="Times New Roman" w:cs="Times New Roman" w:eastAsia="Times New Roman" w:hAnsi="Times New Roman"/>
          <w:b w:val="false"/>
          <w:bCs w:val="false"/>
          <w:i w:val="false"/>
          <w:iCs w:val="false"/>
          <w:sz w:val="22"/>
          <w:szCs w:val="22"/>
        </w:rPr>
        <w:t xml:space="preserve">Karpukhin et al. (EMNLP 2020) demonstrated that a dense dual-encoder retriever outperforms a strong Lucene BM25 baseline by 9–19% absolute in top-20 passage retrieval accuracy. The result is frequently misread as evidence that lexical search is obsolete. In enterprise corpora the opposite consideration applies: exact identifiers — invoice numbers, contract clause references, product codes — are matched reliably by lexical methods and unreliably by embeddings. This project therefore combines both, a decision grounded in the complementary failure modes the two papers together expose.</w:t>
      </w:r>
    </w:p>
    <w:p>
      <w:pPr>
        <w:pStyle w:val="Heading2"/>
        <w:spacing w:after="100" w:before="200"/>
      </w:pPr>
      <w:r>
        <w:rPr>
          <w:rFonts w:ascii="Times New Roman" w:cs="Times New Roman" w:eastAsia="Times New Roman" w:hAnsi="Times New Roman"/>
          <w:b/>
          <w:bCs/>
          <w:color w:val="2E5496"/>
          <w:sz w:val="24"/>
          <w:szCs w:val="24"/>
        </w:rPr>
        <w:t xml:space="preserve">3.3 The hallucination problem and why citation is mandatory</w:t>
      </w:r>
    </w:p>
    <w:p>
      <w:pPr>
        <w:spacing w:after="120" w:line="300"/>
        <w:jc w:val="both"/>
      </w:pPr>
      <w:r>
        <w:rPr>
          <w:rFonts w:ascii="Times New Roman" w:cs="Times New Roman" w:eastAsia="Times New Roman" w:hAnsi="Times New Roman"/>
          <w:b w:val="false"/>
          <w:bCs w:val="false"/>
          <w:i w:val="false"/>
          <w:iCs w:val="false"/>
          <w:sz w:val="22"/>
          <w:szCs w:val="22"/>
        </w:rPr>
        <w:t xml:space="preserve">Ji et al. (ACM Computing Surveys, 2023) survey hallucination in natural language generation and draw the distinction this project builds on: intrinsic hallucination contradicts the source, while extrinsic hallucination cannot be verified against it. In an enterprise setting the extrinsic case is the more dangerous, because a fluent, confident and unverifiable answer is indistinguishable from a correct one. The operational consequence adopted here is that an answer without a citation is treated as a defect, not a stylistic shortcoming.</w:t>
      </w:r>
    </w:p>
    <w:p>
      <w:pPr>
        <w:pStyle w:val="Heading2"/>
        <w:spacing w:after="100" w:before="200"/>
      </w:pPr>
      <w:r>
        <w:rPr>
          <w:rFonts w:ascii="Times New Roman" w:cs="Times New Roman" w:eastAsia="Times New Roman" w:hAnsi="Times New Roman"/>
          <w:b/>
          <w:bCs/>
          <w:color w:val="2E5496"/>
          <w:sz w:val="24"/>
          <w:szCs w:val="24"/>
        </w:rPr>
        <w:t xml:space="preserve">3.4 Agents that reason and act</w:t>
      </w:r>
    </w:p>
    <w:p>
      <w:pPr>
        <w:spacing w:after="120" w:line="300"/>
        <w:jc w:val="both"/>
      </w:pPr>
      <w:r>
        <w:rPr>
          <w:rFonts w:ascii="Times New Roman" w:cs="Times New Roman" w:eastAsia="Times New Roman" w:hAnsi="Times New Roman"/>
          <w:b w:val="false"/>
          <w:bCs w:val="false"/>
          <w:i w:val="false"/>
          <w:iCs w:val="false"/>
          <w:sz w:val="22"/>
          <w:szCs w:val="22"/>
        </w:rPr>
        <w:t xml:space="preserve">Yao et al. (ICLR 2023) proposed ReAct, interleaving reasoning traces with task-specific actions so that reasoning guides tool use and tool results inform further reasoning. The paper reports improved interpretability and trustworthiness relative to approaches using either capability alone. This motivates a fleet of specialised agents under an orchestrator, rather than a single monolithic prompt.</w:t>
      </w:r>
    </w:p>
    <w:p>
      <w:pPr>
        <w:pStyle w:val="Heading2"/>
        <w:spacing w:after="100" w:before="200"/>
      </w:pPr>
      <w:r>
        <w:rPr>
          <w:rFonts w:ascii="Times New Roman" w:cs="Times New Roman" w:eastAsia="Times New Roman" w:hAnsi="Times New Roman"/>
          <w:b/>
          <w:bCs/>
          <w:color w:val="2E5496"/>
          <w:sz w:val="24"/>
          <w:szCs w:val="24"/>
        </w:rPr>
        <w:t xml:space="preserve">3.5 Structured data requires computation, not similarity</w:t>
      </w:r>
    </w:p>
    <w:p>
      <w:pPr>
        <w:spacing w:after="120" w:line="300"/>
        <w:jc w:val="both"/>
      </w:pPr>
      <w:r>
        <w:rPr>
          <w:rFonts w:ascii="Times New Roman" w:cs="Times New Roman" w:eastAsia="Times New Roman" w:hAnsi="Times New Roman"/>
          <w:b w:val="false"/>
          <w:bCs w:val="false"/>
          <w:i w:val="false"/>
          <w:iCs w:val="false"/>
          <w:sz w:val="22"/>
          <w:szCs w:val="22"/>
        </w:rPr>
        <w:t xml:space="preserve">Yu et al. (EMNLP 2018) released Spider, comprising 10,181 human-annotated questions over 5,693 unique SQL queries across 200 databases in 138 domains, with disjoint train and test databases. The best model at publication achieved 9.7% exact-match accuracy on the database split, establishing text-to-SQL as a genuinely hard generalisation problem. The practical lesson for this project is twofold: a question such as 'what was total spend last quarter' must be answered by executing a query rather than by retrieving similar text; and because generated SQL cannot be assumed correct, it must be executed under strict guardrails.</w:t>
      </w:r>
    </w:p>
    <w:p>
      <w:pPr>
        <w:pStyle w:val="Heading2"/>
        <w:spacing w:after="100" w:before="200"/>
      </w:pPr>
      <w:r>
        <w:rPr>
          <w:rFonts w:ascii="Times New Roman" w:cs="Times New Roman" w:eastAsia="Times New Roman" w:hAnsi="Times New Roman"/>
          <w:b/>
          <w:bCs/>
          <w:color w:val="2E5496"/>
          <w:sz w:val="24"/>
          <w:szCs w:val="24"/>
        </w:rPr>
        <w:t xml:space="preserve">3.6 Graph structure for corpus-level questions</w:t>
      </w:r>
    </w:p>
    <w:p>
      <w:pPr>
        <w:spacing w:after="120" w:line="300"/>
        <w:jc w:val="both"/>
      </w:pPr>
      <w:r>
        <w:rPr>
          <w:rFonts w:ascii="Times New Roman" w:cs="Times New Roman" w:eastAsia="Times New Roman" w:hAnsi="Times New Roman"/>
          <w:b w:val="false"/>
          <w:bCs w:val="false"/>
          <w:i w:val="false"/>
          <w:iCs w:val="false"/>
          <w:sz w:val="22"/>
          <w:szCs w:val="22"/>
        </w:rPr>
        <w:t xml:space="preserve">Edge et al. (Microsoft Research, 2024) show that conventional RAG fails on global questions directed at an entire corpus — 'what are the main themes here?' — because such questions are query-focused summarisation rather than retrieval. Their GraphRAG approach builds an entity graph over the corpus to answer at that level. This project incorporates a lightweight entity and relationship graph for the same reason.</w:t>
      </w:r>
    </w:p>
    <w:p>
      <w:pPr>
        <w:pStyle w:val="Heading2"/>
        <w:spacing w:after="100" w:before="200"/>
      </w:pPr>
      <w:r>
        <w:rPr>
          <w:rFonts w:ascii="Times New Roman" w:cs="Times New Roman" w:eastAsia="Times New Roman" w:hAnsi="Times New Roman"/>
          <w:b/>
          <w:bCs/>
          <w:color w:val="2E5496"/>
          <w:sz w:val="24"/>
          <w:szCs w:val="24"/>
        </w:rPr>
        <w:t xml:space="preserve">3.7 Security of LLM-backed applications</w:t>
      </w:r>
    </w:p>
    <w:p>
      <w:pPr>
        <w:spacing w:after="120" w:line="300"/>
        <w:jc w:val="both"/>
      </w:pPr>
      <w:r>
        <w:rPr>
          <w:rFonts w:ascii="Times New Roman" w:cs="Times New Roman" w:eastAsia="Times New Roman" w:hAnsi="Times New Roman"/>
          <w:b w:val="false"/>
          <w:bCs w:val="false"/>
          <w:i w:val="false"/>
          <w:iCs w:val="false"/>
          <w:sz w:val="22"/>
          <w:szCs w:val="22"/>
        </w:rPr>
        <w:t xml:space="preserve">The OWASP Top 10 for Large Language Model Applications (2025 edition) places prompt injection at rank one for the second consecutive edition, and adds excessive agency, system prompt leakage and misinformation as categories reflecting deployment experience. Because this project's SQL agent executes model-generated statements against a live database, prompt injection and excessive agency are not theoretical risks but the primary threat model, and they directly motivate the layered guard-plus-RLS design.</w:t>
      </w:r>
    </w:p>
    <w:p>
      <w:pPr>
        <w:pStyle w:val="Heading2"/>
        <w:spacing w:after="100" w:before="200"/>
      </w:pPr>
      <w:r>
        <w:rPr>
          <w:rFonts w:ascii="Times New Roman" w:cs="Times New Roman" w:eastAsia="Times New Roman" w:hAnsi="Times New Roman"/>
          <w:b/>
          <w:bCs/>
          <w:color w:val="2E5496"/>
          <w:sz w:val="24"/>
          <w:szCs w:val="24"/>
        </w:rPr>
        <w:t xml:space="preserve">3.8 Multi-tenant isolation patterns</w:t>
      </w:r>
    </w:p>
    <w:p>
      <w:pPr>
        <w:spacing w:after="120" w:line="300"/>
        <w:jc w:val="both"/>
      </w:pPr>
      <w:r>
        <w:rPr>
          <w:rFonts w:ascii="Times New Roman" w:cs="Times New Roman" w:eastAsia="Times New Roman" w:hAnsi="Times New Roman"/>
          <w:b w:val="false"/>
          <w:bCs w:val="false"/>
          <w:i w:val="false"/>
          <w:iCs w:val="false"/>
          <w:sz w:val="22"/>
          <w:szCs w:val="22"/>
        </w:rPr>
        <w:t xml:space="preserve">Industry architecture guidance identifies three multi-tenancy patterns: database-per-tenant, schema-per-tenant, and a shared schema in which every row carries a tenant identifier. The shared-schema model is the densest and cheapest and is the default for SaaS at scale, but it offers the weakest isolation because enforcement rests entirely on application logic; a single programming error, compromised credential or privileged operator can expose every tenant. The recommended mitigation is Row-Level Security applied at the database as a secondary defence beneath the application layer. This project adopts precisely that arrangement, and — as the primary research chapter documents — an application-layer failure was in fact observed during testing, which is the strongest possible justification for the second layer.</w:t>
      </w:r>
    </w:p>
    <w:p>
      <w:pPr>
        <w:pStyle w:val="Heading1"/>
        <w:spacing w:after="120" w:before="260"/>
      </w:pPr>
      <w:r>
        <w:rPr>
          <w:rFonts w:ascii="Times New Roman" w:cs="Times New Roman" w:eastAsia="Times New Roman" w:hAnsi="Times New Roman"/>
          <w:b/>
          <w:bCs/>
          <w:color w:val="1F3864"/>
          <w:sz w:val="28"/>
          <w:szCs w:val="28"/>
        </w:rPr>
        <w:t xml:space="preserve">4. Comparison with Existing Systems</w:t>
      </w:r>
    </w:p>
    <w:p>
      <w:pPr>
        <w:spacing w:after="120" w:line="300"/>
        <w:jc w:val="both"/>
      </w:pPr>
      <w:r>
        <w:rPr>
          <w:rFonts w:ascii="Times New Roman" w:cs="Times New Roman" w:eastAsia="Times New Roman" w:hAnsi="Times New Roman"/>
          <w:b w:val="false"/>
          <w:bCs w:val="false"/>
          <w:i w:val="false"/>
          <w:iCs w:val="false"/>
          <w:sz w:val="22"/>
          <w:szCs w:val="22"/>
        </w:rPr>
        <w:t xml:space="preserve">Four categories of comparable product were examined against publicly available product documentation and pricing pages.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100"/>
      </w:tblGrid>
      <w:tr>
        <w:trPr>
          <w:tblHeader/>
        </w:trPr>
        <w:tc>
          <w:tcPr>
            <w:tcW w:type="dxa" w:w="2300"/>
            <w:shd w:fill="D9E2F3" w:color="auto"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System / Category</w:t>
            </w:r>
          </w:p>
        </w:tc>
        <w:tc>
          <w:tcPr>
            <w:tcW w:type="dxa" w:w="3100"/>
            <w:shd w:fill="D9E2F3" w:color="auto"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Strengths</w:t>
            </w:r>
          </w:p>
        </w:tc>
        <w:tc>
          <w:tcPr>
            <w:tcW w:type="dxa" w:w="3100"/>
            <w:shd w:fill="D9E2F3" w:color="auto"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Gaps relative to this project</w:t>
            </w:r>
          </w:p>
        </w:tc>
      </w:tr>
      <w:tr>
        <w:tc>
          <w:tcPr>
            <w:tcW w:type="dxa" w:w="23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General assistants (ChatGPT, Claude, Gemini)</w:t>
            </w:r>
          </w:p>
        </w:tc>
        <w:tc>
          <w:tcPr>
            <w:tcW w:type="dxa" w:w="31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Strong reasoning; broad general knowledge; mature interfaces.</w:t>
            </w:r>
          </w:p>
        </w:tc>
        <w:tc>
          <w:tcPr>
            <w:tcW w:type="dxa" w:w="31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No native tenant model for an organisation's private corpus; no per-workspace database isolation; citation into internal documents is limited.</w:t>
            </w:r>
          </w:p>
        </w:tc>
      </w:tr>
      <w:tr>
        <w:tc>
          <w:tcPr>
            <w:tcW w:type="dxa" w:w="23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Enterprise search (Glean, Microsoft Copilot)</w:t>
            </w:r>
          </w:p>
        </w:tc>
        <w:tc>
          <w:tcPr>
            <w:tcW w:type="dxa" w:w="31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Deep connector ecosystems; mature identity integration.</w:t>
            </w:r>
          </w:p>
        </w:tc>
        <w:tc>
          <w:tcPr>
            <w:tcW w:type="dxa" w:w="31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Closed and costly; retrieval and orchestration are not inspectable; no user-authored agents or NL-to-SQL over uploaded tables.</w:t>
            </w:r>
          </w:p>
        </w:tc>
      </w:tr>
      <w:tr>
        <w:tc>
          <w:tcPr>
            <w:tcW w:type="dxa" w:w="23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RAG frameworks (LangChain, LlamaIndex)</w:t>
            </w:r>
          </w:p>
        </w:tc>
        <w:tc>
          <w:tcPr>
            <w:tcW w:type="dxa" w:w="31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Flexible, open, strong community.</w:t>
            </w:r>
          </w:p>
        </w:tc>
        <w:tc>
          <w:tcPr>
            <w:tcW w:type="dxa" w:w="31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Libraries rather than products: no multi-tenancy, no roles, no audit trail, no interface — the surrounding system is left to the developer.</w:t>
            </w:r>
          </w:p>
        </w:tc>
      </w:tr>
      <w:tr>
        <w:tc>
          <w:tcPr>
            <w:tcW w:type="dxa" w:w="23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Vector databases (Pinecone, Qdrant, Weaviate)</w:t>
            </w:r>
          </w:p>
        </w:tc>
        <w:tc>
          <w:tcPr>
            <w:tcW w:type="dxa" w:w="31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Efficient similarity search at scale.</w:t>
            </w:r>
          </w:p>
        </w:tc>
        <w:tc>
          <w:tcPr>
            <w:tcW w:type="dxa" w:w="31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 single component only: no agents, no structured querying, no governance, no application layer.</w:t>
            </w:r>
          </w:p>
        </w:tc>
      </w:tr>
    </w:tbl>
    <w:p>
      <w:pPr>
        <w:spacing w:after="200" w:before="80"/>
        <w:jc w:val="center"/>
      </w:pPr>
      <w:r>
        <w:rPr>
          <w:rFonts w:ascii="Times New Roman" w:cs="Times New Roman" w:eastAsia="Times New Roman" w:hAnsi="Times New Roman"/>
          <w:i/>
          <w:iCs/>
          <w:sz w:val="19"/>
          <w:szCs w:val="19"/>
        </w:rPr>
        <w:t xml:space="preserve">Table 2: Comparative analysis of existing systems</w:t>
      </w:r>
    </w:p>
    <w:p>
      <w:pPr>
        <w:pStyle w:val="Heading1"/>
        <w:spacing w:after="120" w:before="260"/>
      </w:pPr>
      <w:r>
        <w:rPr>
          <w:rFonts w:ascii="Times New Roman" w:cs="Times New Roman" w:eastAsia="Times New Roman" w:hAnsi="Times New Roman"/>
          <w:b/>
          <w:bCs/>
          <w:color w:val="1F3864"/>
          <w:sz w:val="28"/>
          <w:szCs w:val="28"/>
        </w:rPr>
        <w:t xml:space="preserve">5. Research Gap Identified</w:t>
      </w:r>
    </w:p>
    <w:p>
      <w:pPr>
        <w:spacing w:after="120" w:line="300"/>
        <w:jc w:val="both"/>
      </w:pPr>
      <w:r>
        <w:rPr>
          <w:rFonts w:ascii="Times New Roman" w:cs="Times New Roman" w:eastAsia="Times New Roman" w:hAnsi="Times New Roman"/>
          <w:b w:val="false"/>
          <w:bCs w:val="false"/>
          <w:i w:val="false"/>
          <w:iCs w:val="false"/>
          <w:sz w:val="22"/>
          <w:szCs w:val="22"/>
        </w:rPr>
        <w:t xml:space="preserve">The literature independently solves retrieval, agent reasoning, structured querying and graph summarisation, and industry guidance independently specifies multi-tenant isolation. What the secondary research does not reveal is an open, integrated system that combines all of these AND treats tenant isolation as a verified, database-enforced property. Specifically:</w:t>
      </w:r>
    </w:p>
    <w:p>
      <w:pPr>
        <w:pStyle w:val="ListParagraph"/>
        <w:numPr>
          <w:ilvl w:val="0"/>
          <w:numId w:val="2"/>
        </w:numPr>
        <w:spacing w:after="70" w:line="290"/>
      </w:pPr>
      <w:r>
        <w:rPr>
          <w:rFonts w:ascii="Times New Roman" w:cs="Times New Roman" w:eastAsia="Times New Roman" w:hAnsi="Times New Roman"/>
          <w:sz w:val="22"/>
          <w:szCs w:val="22"/>
        </w:rPr>
        <w:t xml:space="preserve">RAG research overwhelmingly evaluates single-corpus settings; multi-tenant retrieval, where a leak is a breach rather than a poor result, is largely unaddressed.</w:t>
      </w:r>
    </w:p>
    <w:p>
      <w:pPr>
        <w:pStyle w:val="ListParagraph"/>
        <w:numPr>
          <w:ilvl w:val="0"/>
          <w:numId w:val="2"/>
        </w:numPr>
        <w:spacing w:after="70" w:line="290"/>
      </w:pPr>
      <w:r>
        <w:rPr>
          <w:rFonts w:ascii="Times New Roman" w:cs="Times New Roman" w:eastAsia="Times New Roman" w:hAnsi="Times New Roman"/>
          <w:sz w:val="22"/>
          <w:szCs w:val="22"/>
        </w:rPr>
        <w:t xml:space="preserve">Text-to-SQL research optimises accuracy on benchmarks; the security of executing generated SQL against a live multi-tenant database receives comparatively little attention.</w:t>
      </w:r>
    </w:p>
    <w:p>
      <w:pPr>
        <w:pStyle w:val="ListParagraph"/>
        <w:numPr>
          <w:ilvl w:val="0"/>
          <w:numId w:val="2"/>
        </w:numPr>
        <w:spacing w:after="70" w:line="290"/>
      </w:pPr>
      <w:r>
        <w:rPr>
          <w:rFonts w:ascii="Times New Roman" w:cs="Times New Roman" w:eastAsia="Times New Roman" w:hAnsi="Times New Roman"/>
          <w:sz w:val="22"/>
          <w:szCs w:val="22"/>
        </w:rPr>
        <w:t xml:space="preserve">Multi-tenancy guidance is written for conventional CRUD applications, not for systems in which a language model composes the queries.</w:t>
      </w:r>
    </w:p>
    <w:p>
      <w:pPr>
        <w:pStyle w:val="ListParagraph"/>
        <w:numPr>
          <w:ilvl w:val="0"/>
          <w:numId w:val="2"/>
        </w:numPr>
        <w:spacing w:after="70" w:line="290"/>
      </w:pPr>
      <w:r>
        <w:rPr>
          <w:rFonts w:ascii="Times New Roman" w:cs="Times New Roman" w:eastAsia="Times New Roman" w:hAnsi="Times New Roman"/>
          <w:sz w:val="22"/>
          <w:szCs w:val="22"/>
        </w:rPr>
        <w:t xml:space="preserve">No open system was found that unifies hybrid RAG, an agent fleet, NL-to-SQL, a knowledge graph and automation behind one governed, isolated workspace.</w:t>
      </w:r>
    </w:p>
    <w:p>
      <w:pPr>
        <w:spacing w:after="120" w:line="300"/>
        <w:jc w:val="both"/>
      </w:pPr>
      <w:r>
        <w:rPr>
          <w:rFonts w:ascii="Times New Roman" w:cs="Times New Roman" w:eastAsia="Times New Roman" w:hAnsi="Times New Roman"/>
          <w:b w:val="false"/>
          <w:bCs w:val="false"/>
          <w:i w:val="false"/>
          <w:iCs w:val="false"/>
          <w:sz w:val="22"/>
          <w:szCs w:val="22"/>
        </w:rPr>
        <w:t xml:space="preserve">EAIOS is positioned in this gap: an integrated platform whose isolation guarantee is enforced by the database and demonstrated empirically under adversarial query conditions.</w:t>
      </w:r>
    </w:p>
    <w:p>
      <w:pPr>
        <w:pStyle w:val="Heading1"/>
        <w:spacing w:after="120" w:before="260"/>
      </w:pPr>
      <w:r>
        <w:rPr>
          <w:rFonts w:ascii="Times New Roman" w:cs="Times New Roman" w:eastAsia="Times New Roman" w:hAnsi="Times New Roman"/>
          <w:b/>
          <w:bCs/>
          <w:color w:val="1F3864"/>
          <w:sz w:val="28"/>
          <w:szCs w:val="28"/>
        </w:rPr>
        <w:t xml:space="preserve">6. References</w:t>
      </w:r>
    </w:p>
    <w:p>
      <w:pPr>
        <w:pStyle w:val="ListParagraph"/>
        <w:numPr>
          <w:ilvl w:val="0"/>
          <w:numId w:val="3"/>
        </w:numPr>
        <w:spacing w:after="70" w:line="290"/>
      </w:pPr>
      <w:r>
        <w:rPr>
          <w:rFonts w:ascii="Times New Roman" w:cs="Times New Roman" w:eastAsia="Times New Roman" w:hAnsi="Times New Roman"/>
          <w:sz w:val="22"/>
          <w:szCs w:val="22"/>
        </w:rPr>
        <w:t xml:space="preserve">P. Lewis, E. Perez, A. Piktus, F. Petroni, V. Karpukhin, N. Goyal, H. Küttler, M. Lewis, W. Yih, T. Rocktäschel, S. Riedel and D. Kiela, "Retrieval-Augmented Generation for Knowledge-Intensive NLP Tasks," in Advances in Neural Information Processing Systems (NeurIPS), vol. 33, pp. 9459–9474, 2020.</w:t>
      </w:r>
    </w:p>
    <w:p>
      <w:pPr>
        <w:pStyle w:val="ListParagraph"/>
        <w:numPr>
          <w:ilvl w:val="0"/>
          <w:numId w:val="3"/>
        </w:numPr>
        <w:spacing w:after="70" w:line="290"/>
      </w:pPr>
      <w:r>
        <w:rPr>
          <w:rFonts w:ascii="Times New Roman" w:cs="Times New Roman" w:eastAsia="Times New Roman" w:hAnsi="Times New Roman"/>
          <w:sz w:val="22"/>
          <w:szCs w:val="22"/>
        </w:rPr>
        <w:t xml:space="preserve">Y. Gao, Y. Xiong, X. Gao, K. Jia, J. Pan, Y. Bi, Y. Dai, J. Sun and H. Wang, "Retrieval-Augmented Generation for Large Language Models: A Survey," arXiv:2312.10997, 2023.</w:t>
      </w:r>
    </w:p>
    <w:p>
      <w:pPr>
        <w:pStyle w:val="ListParagraph"/>
        <w:numPr>
          <w:ilvl w:val="0"/>
          <w:numId w:val="3"/>
        </w:numPr>
        <w:spacing w:after="70" w:line="290"/>
      </w:pPr>
      <w:r>
        <w:rPr>
          <w:rFonts w:ascii="Times New Roman" w:cs="Times New Roman" w:eastAsia="Times New Roman" w:hAnsi="Times New Roman"/>
          <w:sz w:val="22"/>
          <w:szCs w:val="22"/>
        </w:rPr>
        <w:t xml:space="preserve">V. Karpukhin, B. Oğuz, S. Min, P. Lewis, L. Wu, S. Edunov, D. Chen and W. Yih, "Dense Passage Retrieval for Open-Domain Question Answering," in Proc. EMNLP, pp. 6769–6781, 2020.</w:t>
      </w:r>
    </w:p>
    <w:p>
      <w:pPr>
        <w:pStyle w:val="ListParagraph"/>
        <w:numPr>
          <w:ilvl w:val="0"/>
          <w:numId w:val="3"/>
        </w:numPr>
        <w:spacing w:after="70" w:line="290"/>
      </w:pPr>
      <w:r>
        <w:rPr>
          <w:rFonts w:ascii="Times New Roman" w:cs="Times New Roman" w:eastAsia="Times New Roman" w:hAnsi="Times New Roman"/>
          <w:sz w:val="22"/>
          <w:szCs w:val="22"/>
        </w:rPr>
        <w:t xml:space="preserve">Z. Ji, N. Lee, R. Frieske, T. Yu, D. Su, Y. Xu, E. Ishii, Y. J. Bang, A. Madotto and P. Fung, "Survey of Hallucination in Natural Language Generation," ACM Computing Surveys, vol. 55, no. 12, art. 248, 2023.</w:t>
      </w:r>
    </w:p>
    <w:p>
      <w:pPr>
        <w:pStyle w:val="ListParagraph"/>
        <w:numPr>
          <w:ilvl w:val="0"/>
          <w:numId w:val="3"/>
        </w:numPr>
        <w:spacing w:after="70" w:line="290"/>
      </w:pPr>
      <w:r>
        <w:rPr>
          <w:rFonts w:ascii="Times New Roman" w:cs="Times New Roman" w:eastAsia="Times New Roman" w:hAnsi="Times New Roman"/>
          <w:sz w:val="22"/>
          <w:szCs w:val="22"/>
        </w:rPr>
        <w:t xml:space="preserve">S. Yao, J. Zhao, D. Yu, N. Du, I. Shafran, K. Narasimhan and Y. Cao, "ReAct: Synergizing Reasoning and Acting in Language Models," in Proc. 11th International Conference on Learning Representations (ICLR), 2023.</w:t>
      </w:r>
    </w:p>
    <w:p>
      <w:pPr>
        <w:pStyle w:val="ListParagraph"/>
        <w:numPr>
          <w:ilvl w:val="0"/>
          <w:numId w:val="3"/>
        </w:numPr>
        <w:spacing w:after="70" w:line="290"/>
      </w:pPr>
      <w:r>
        <w:rPr>
          <w:rFonts w:ascii="Times New Roman" w:cs="Times New Roman" w:eastAsia="Times New Roman" w:hAnsi="Times New Roman"/>
          <w:sz w:val="22"/>
          <w:szCs w:val="22"/>
        </w:rPr>
        <w:t xml:space="preserve">T. Yu, R. Zhang, K. Yang, M. Yasunaga, D. Wang, Z. Li, J. Ma, I. Li, Q. Yao, S. Roman, Z. Zhang and D. Radev, "Spider: A Large-Scale Human-Labeled Dataset for Complex and Cross-Domain Semantic Parsing and Text-to-SQL Task," in Proc. EMNLP, pp. 3911–3921, 2018.</w:t>
      </w:r>
    </w:p>
    <w:p>
      <w:pPr>
        <w:pStyle w:val="ListParagraph"/>
        <w:numPr>
          <w:ilvl w:val="0"/>
          <w:numId w:val="3"/>
        </w:numPr>
        <w:spacing w:after="70" w:line="290"/>
      </w:pPr>
      <w:r>
        <w:rPr>
          <w:rFonts w:ascii="Times New Roman" w:cs="Times New Roman" w:eastAsia="Times New Roman" w:hAnsi="Times New Roman"/>
          <w:sz w:val="22"/>
          <w:szCs w:val="22"/>
        </w:rPr>
        <w:t xml:space="preserve">D. Edge, H. Trinh, N. Cheng, J. Bradley, A. Chao, A. Mody, S. Truitt, D. Metropolitansky, R. O. Ness and J. Larson, "From Local to Global: A Graph RAG Approach to Query-Focused Summarization," arXiv:2404.16130, Microsoft Research, 2024.</w:t>
      </w:r>
    </w:p>
    <w:p>
      <w:pPr>
        <w:pStyle w:val="ListParagraph"/>
        <w:numPr>
          <w:ilvl w:val="0"/>
          <w:numId w:val="3"/>
        </w:numPr>
        <w:spacing w:after="70" w:line="290"/>
      </w:pPr>
      <w:r>
        <w:rPr>
          <w:rFonts w:ascii="Times New Roman" w:cs="Times New Roman" w:eastAsia="Times New Roman" w:hAnsi="Times New Roman"/>
          <w:sz w:val="22"/>
          <w:szCs w:val="22"/>
        </w:rPr>
        <w:t xml:space="preserve">OWASP Foundation, "OWASP Top 10 for Large Language Model Applications," 2025 edition.</w:t>
      </w:r>
    </w:p>
    <w:p>
      <w:pPr>
        <w:pStyle w:val="ListParagraph"/>
        <w:numPr>
          <w:ilvl w:val="0"/>
          <w:numId w:val="3"/>
        </w:numPr>
        <w:spacing w:after="70" w:line="290"/>
      </w:pPr>
      <w:r>
        <w:rPr>
          <w:rFonts w:ascii="Times New Roman" w:cs="Times New Roman" w:eastAsia="Times New Roman" w:hAnsi="Times New Roman"/>
          <w:sz w:val="22"/>
          <w:szCs w:val="22"/>
        </w:rPr>
        <w:t xml:space="preserve">McKinsey &amp; Company, "The State of AI: Global Survey," QuantumBlack, 2025 (n = 1,993 respondents, 105 nations, fielded 25 June – 29 July 2025).</w:t>
      </w:r>
    </w:p>
    <w:p>
      <w:pPr>
        <w:pStyle w:val="ListParagraph"/>
        <w:numPr>
          <w:ilvl w:val="0"/>
          <w:numId w:val="3"/>
        </w:numPr>
        <w:spacing w:after="70" w:line="290"/>
      </w:pPr>
      <w:r>
        <w:rPr>
          <w:rFonts w:ascii="Times New Roman" w:cs="Times New Roman" w:eastAsia="Times New Roman" w:hAnsi="Times New Roman"/>
          <w:sz w:val="22"/>
          <w:szCs w:val="22"/>
        </w:rPr>
        <w:t xml:space="preserve">Amazon Web Services, "Multi-tenant data isolation with PostgreSQL Row Level Security," AWS Database Blog (accessed 2026).</w:t>
      </w:r>
    </w:p>
    <w:sectPr>
      <w:pgSz w:w="11906" w:h="16838" w:orient="portrait"/>
      <w:pgMar w:top="1080" w:right="108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2026-08-01T02:58:39.885Z</dcterms:created>
  <dcterms:modified xsi:type="dcterms:W3CDTF">2026-08-01T02:58:39.885Z</dcterms:modified>
</cp:coreProperties>
</file>

<file path=docProps/custom.xml><?xml version="1.0" encoding="utf-8"?>
<Properties xmlns="http://schemas.openxmlformats.org/officeDocument/2006/custom-properties" xmlns:vt="http://schemas.openxmlformats.org/officeDocument/2006/docPropsVTypes"/>
</file>