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Vishwaniketan's Institute of Management Entrepreneurship &amp; Engineering Technology (iMEET)</w:t>
      </w:r>
    </w:p>
    <w:p>
      <w:pPr>
        <w:spacing w:after="60"/>
        <w:jc w:val="center"/>
      </w:pPr>
      <w:r>
        <w:rPr>
          <w:rFonts w:ascii="Times New Roman" w:cs="Times New Roman" w:eastAsia="Times New Roman" w:hAnsi="Times New Roman"/>
          <w:b w:val="false"/>
          <w:bCs w:val="false"/>
          <w:sz w:val="20"/>
          <w:szCs w:val="20"/>
        </w:rPr>
        <w:t xml:space="preserve">Affiliated to University of Mumbai, Approved by AICTE, New Delhi</w:t>
      </w:r>
    </w:p>
    <w:p>
      <w:pPr>
        <w:spacing w:after="260"/>
        <w:jc w:val="center"/>
      </w:pPr>
      <w:r>
        <w:rPr>
          <w:rFonts w:ascii="Times New Roman" w:cs="Times New Roman" w:eastAsia="Times New Roman" w:hAnsi="Times New Roman"/>
          <w:b/>
          <w:bCs/>
          <w:sz w:val="20"/>
          <w:szCs w:val="20"/>
        </w:rPr>
        <w:t xml:space="preserve">Department of Computer Engineering</w:t>
      </w:r>
    </w:p>
    <w:p>
      <w:pPr>
        <w:spacing w:after="80" w:before="200"/>
        <w:jc w:val="center"/>
      </w:pPr>
      <w:r>
        <w:rPr>
          <w:rFonts w:ascii="Times New Roman" w:cs="Times New Roman" w:eastAsia="Times New Roman" w:hAnsi="Times New Roman"/>
          <w:b/>
          <w:bCs/>
          <w:sz w:val="34"/>
          <w:szCs w:val="34"/>
        </w:rPr>
        <w:t xml:space="preserve">Literature Review</w:t>
      </w:r>
    </w:p>
    <w:p>
      <w:pPr>
        <w:spacing w:after="240"/>
        <w:jc w:val="center"/>
      </w:pPr>
      <w:r>
        <w:rPr>
          <w:rFonts w:ascii="Times New Roman" w:cs="Times New Roman" w:eastAsia="Times New Roman" w:hAnsi="Times New Roman"/>
          <w:i/>
          <w:iCs/>
          <w:sz w:val="24"/>
          <w:szCs w:val="24"/>
        </w:rPr>
        <w:t xml:space="preserve">EAIOS — An Enterprise AI Operating System</w:t>
      </w:r>
    </w:p>
    <w:p>
      <w:pPr>
        <w:spacing w:after="40"/>
        <w:jc w:val="center"/>
      </w:pPr>
      <w:r>
        <w:rPr>
          <w:rFonts w:ascii="Times New Roman" w:cs="Times New Roman" w:eastAsia="Times New Roman" w:hAnsi="Times New Roman"/>
          <w:b/>
          <w:bCs/>
          <w:sz w:val="22"/>
          <w:szCs w:val="22"/>
        </w:rPr>
        <w:t xml:space="preserve">Major Project — First Internal Review</w:t>
      </w:r>
    </w:p>
    <w:p>
      <w:pPr>
        <w:spacing w:after="300"/>
        <w:jc w:val="center"/>
      </w:pPr>
      <w:r>
        <w:rPr>
          <w:rFonts w:ascii="Times New Roman" w:cs="Times New Roman" w:eastAsia="Times New Roman" w:hAnsi="Times New Roman"/>
          <w:sz w:val="20"/>
          <w:szCs w:val="20"/>
        </w:rPr>
        <w:t xml:space="preserve">Review Date: 5 August 2026</w:t>
      </w:r>
    </w:p>
    <w:p>
      <w:pPr>
        <w:spacing w:after="20"/>
        <w:jc w:val="center"/>
      </w:pPr>
      <w:r>
        <w:rPr>
          <w:rFonts w:ascii="Times New Roman" w:cs="Times New Roman" w:eastAsia="Times New Roman" w:hAnsi="Times New Roman"/>
          <w:i/>
          <w:iCs/>
          <w:sz w:val="20"/>
          <w:szCs w:val="20"/>
        </w:rPr>
        <w:t xml:space="preserve">Submitted by</w:t>
      </w:r>
    </w:p>
    <w:p>
      <w:pPr>
        <w:spacing w:after="20"/>
        <w:jc w:val="center"/>
      </w:pPr>
      <w:r>
        <w:rPr>
          <w:rFonts w:ascii="Times New Roman" w:cs="Times New Roman" w:eastAsia="Times New Roman" w:hAnsi="Times New Roman"/>
          <w:b/>
          <w:bCs/>
          <w:sz w:val="22"/>
          <w:szCs w:val="22"/>
        </w:rPr>
        <w:t xml:space="preserve">Darshan Dalvi</w:t>
      </w:r>
    </w:p>
    <w:p>
      <w:pPr>
        <w:spacing w:after="20"/>
        <w:jc w:val="center"/>
      </w:pPr>
      <w:r>
        <w:rPr>
          <w:rFonts w:ascii="Times New Roman" w:cs="Times New Roman" w:eastAsia="Times New Roman" w:hAnsi="Times New Roman"/>
          <w:b/>
          <w:bCs/>
          <w:sz w:val="22"/>
          <w:szCs w:val="22"/>
        </w:rPr>
        <w:t xml:space="preserve">[Teammate Name 2]</w:t>
      </w:r>
    </w:p>
    <w:p>
      <w:pPr>
        <w:spacing w:after="20"/>
        <w:jc w:val="center"/>
      </w:pPr>
      <w:r>
        <w:rPr>
          <w:rFonts w:ascii="Times New Roman" w:cs="Times New Roman" w:eastAsia="Times New Roman" w:hAnsi="Times New Roman"/>
          <w:b/>
          <w:bCs/>
          <w:sz w:val="22"/>
          <w:szCs w:val="22"/>
        </w:rPr>
        <w:t xml:space="preserve">[Teammate Name 3]</w:t>
      </w:r>
    </w:p>
    <w:p>
      <w:pPr>
        <w:spacing w:before="200"/>
        <w:jc w:val="center"/>
      </w:pPr>
      <w:r>
        <w:rPr>
          <w:rFonts w:ascii="Times New Roman" w:cs="Times New Roman" w:eastAsia="Times New Roman" w:hAnsi="Times New Roman"/>
          <w:sz w:val="20"/>
          <w:szCs w:val="20"/>
        </w:rPr>
        <w:t xml:space="preserve">Project Guide: [Guide Name]</w:t>
      </w:r>
    </w:p>
    <w:p>
      <w:pPr>
        <w:spacing w:after="60"/>
        <w:jc w:val="center"/>
      </w:pPr>
      <w:r>
        <w:rPr>
          <w:rFonts w:ascii="Times New Roman" w:cs="Times New Roman" w:eastAsia="Times New Roman" w:hAnsi="Times New Roman"/>
          <w:sz w:val="20"/>
          <w:szCs w:val="20"/>
        </w:rPr>
        <w:t xml:space="preserve">Project Coordinator: Mrs. Sharayu Patil    |    HOD: Mrs. C. M. Pandit</w:t>
      </w:r>
    </w:p>
    <w:p>
      <w:r>
        <w:br w:type="page"/>
      </w:r>
    </w:p>
    <w:p>
      <w:pPr>
        <w:pStyle w:val="Heading1"/>
        <w:spacing w:after="120" w:before="260"/>
      </w:pPr>
      <w:r>
        <w:rPr>
          <w:rFonts w:ascii="Times New Roman" w:cs="Times New Roman" w:eastAsia="Times New Roman" w:hAnsi="Times New Roman"/>
          <w:b/>
          <w:bCs/>
          <w:color w:val="1F3864"/>
          <w:sz w:val="28"/>
          <w:szCs w:val="28"/>
        </w:rPr>
        <w:t xml:space="preserve">1. Introduction</w:t>
      </w:r>
    </w:p>
    <w:p>
      <w:pPr>
        <w:spacing w:after="120" w:line="300"/>
        <w:jc w:val="both"/>
      </w:pPr>
      <w:r>
        <w:rPr>
          <w:rFonts w:ascii="Times New Roman" w:cs="Times New Roman" w:eastAsia="Times New Roman" w:hAnsi="Times New Roman"/>
          <w:b w:val="false"/>
          <w:bCs w:val="false"/>
          <w:i w:val="false"/>
          <w:iCs w:val="false"/>
          <w:sz w:val="22"/>
          <w:szCs w:val="22"/>
        </w:rPr>
        <w:t xml:space="preserve">This review examines the body of work on which EAIOS is built, organised around the five technical problems the system must solve: grounding generation in an organisation's own documents; retrieving the right evidence; coordinating specialised agents; answering questions over structured data; and isolating tenants from one another. For each area the review states what the literature establishes, what it leaves unresolved, and how this project responds. The chapter closes with a consolidated comparison and a statement of the research gap.</w:t>
      </w:r>
    </w:p>
    <w:p>
      <w:pPr>
        <w:spacing w:after="120" w:line="300"/>
        <w:jc w:val="both"/>
      </w:pPr>
      <w:r>
        <w:rPr>
          <w:rFonts w:ascii="Times New Roman" w:cs="Times New Roman" w:eastAsia="Times New Roman" w:hAnsi="Times New Roman"/>
          <w:b w:val="false"/>
          <w:bCs w:val="false"/>
          <w:i w:val="false"/>
          <w:iCs w:val="false"/>
          <w:sz w:val="22"/>
          <w:szCs w:val="22"/>
        </w:rPr>
        <w:t xml:space="preserve">Ten primary sources are examined, drawn from NeurIPS, EMNLP, ICLR, ACM Computing Surveys, Microsoft Research, the OWASP Foundation and industry survey work. All are verifiable and are listed in full in Section 8.</w:t>
      </w:r>
    </w:p>
    <w:p>
      <w:pPr>
        <w:pStyle w:val="Heading1"/>
        <w:spacing w:after="120" w:before="260"/>
      </w:pPr>
      <w:r>
        <w:rPr>
          <w:rFonts w:ascii="Times New Roman" w:cs="Times New Roman" w:eastAsia="Times New Roman" w:hAnsi="Times New Roman"/>
          <w:b/>
          <w:bCs/>
          <w:color w:val="1F3864"/>
          <w:sz w:val="28"/>
          <w:szCs w:val="28"/>
        </w:rPr>
        <w:t xml:space="preserve">2. Retrieval-Augmented Generation</w:t>
      </w:r>
    </w:p>
    <w:p>
      <w:pPr>
        <w:pStyle w:val="Heading2"/>
        <w:spacing w:after="100" w:before="200"/>
      </w:pPr>
      <w:r>
        <w:rPr>
          <w:rFonts w:ascii="Times New Roman" w:cs="Times New Roman" w:eastAsia="Times New Roman" w:hAnsi="Times New Roman"/>
          <w:b/>
          <w:bCs/>
          <w:color w:val="2E5496"/>
          <w:sz w:val="24"/>
          <w:szCs w:val="24"/>
        </w:rPr>
        <w:t xml:space="preserve">2.1 Foundational work</w:t>
      </w:r>
    </w:p>
    <w:p>
      <w:pPr>
        <w:spacing w:after="120" w:line="300"/>
        <w:jc w:val="both"/>
      </w:pPr>
      <w:r>
        <w:rPr>
          <w:rFonts w:ascii="Times New Roman" w:cs="Times New Roman" w:eastAsia="Times New Roman" w:hAnsi="Times New Roman"/>
          <w:b w:val="false"/>
          <w:bCs w:val="false"/>
          <w:i w:val="false"/>
          <w:iCs w:val="false"/>
          <w:sz w:val="22"/>
          <w:szCs w:val="22"/>
        </w:rPr>
        <w:t xml:space="preserve">Lewis et al. [1] introduced Retrieval-Augmented Generation at NeurIPS 2020, coupling a parametric sequence-to-sequence model with a non-parametric retrieved corpus. Their central insight is that factual knowledge need not reside in model weights: it can be retrieved at inference time, which allows the knowledge to be updated without retraining and allows an answer to be attributed to a document. For an enterprise deployment this is decisive, because internal knowledge changes weekly and cannot be baked into a foundation model.</w:t>
      </w:r>
    </w:p>
    <w:p>
      <w:pPr>
        <w:spacing w:after="120" w:line="300"/>
        <w:jc w:val="both"/>
      </w:pPr>
      <w:r>
        <w:rPr>
          <w:rFonts w:ascii="Times New Roman" w:cs="Times New Roman" w:eastAsia="Times New Roman" w:hAnsi="Times New Roman"/>
          <w:b w:val="false"/>
          <w:bCs w:val="false"/>
          <w:i w:val="false"/>
          <w:iCs w:val="false"/>
          <w:sz w:val="22"/>
          <w:szCs w:val="22"/>
        </w:rPr>
        <w:t xml:space="preserve">Gao et al. [2] survey the field three years on and organise implementations into three paradigms — Naive RAG (retrieve, then generate), Advanced RAG (with pre- and post-retrieval optimisation), and Modular RAG (composable, reconfigurable stages). They analyse retrieval, generation and augmentation as separable concerns. EAIOS follows the modular paradigm: retrieval, routing, generation and citation are distinct stages, which is what allows the system to degrade to cited source excerpts when the generation stage is unavailable.</w:t>
      </w:r>
    </w:p>
    <w:p>
      <w:pPr>
        <w:pStyle w:val="Heading2"/>
        <w:spacing w:after="100" w:before="200"/>
      </w:pPr>
      <w:r>
        <w:rPr>
          <w:rFonts w:ascii="Times New Roman" w:cs="Times New Roman" w:eastAsia="Times New Roman" w:hAnsi="Times New Roman"/>
          <w:b/>
          <w:bCs/>
          <w:color w:val="2E5496"/>
          <w:sz w:val="24"/>
          <w:szCs w:val="24"/>
        </w:rPr>
        <w:t xml:space="preserve">2.2 Critical assessment</w:t>
      </w:r>
    </w:p>
    <w:p>
      <w:pPr>
        <w:spacing w:after="120" w:line="300"/>
        <w:jc w:val="both"/>
      </w:pPr>
      <w:r>
        <w:rPr>
          <w:rFonts w:ascii="Times New Roman" w:cs="Times New Roman" w:eastAsia="Times New Roman" w:hAnsi="Times New Roman"/>
          <w:b w:val="false"/>
          <w:bCs w:val="false"/>
          <w:i w:val="false"/>
          <w:iCs w:val="false"/>
          <w:sz w:val="22"/>
          <w:szCs w:val="22"/>
        </w:rPr>
        <w:t xml:space="preserve">The limitation relevant to this project is that RAG research almost universally evaluates a single, undifferentiated corpus. The question of what happens when the corpus is partitioned across mutually distrustful organisations — where retrieving the wrong document is not a quality failure but a data breach — is not addressed by either paper. This is the first component of the gap this project occupies.</w:t>
      </w:r>
    </w:p>
    <w:p>
      <w:pPr>
        <w:pStyle w:val="Heading1"/>
        <w:spacing w:after="120" w:before="260"/>
      </w:pPr>
      <w:r>
        <w:rPr>
          <w:rFonts w:ascii="Times New Roman" w:cs="Times New Roman" w:eastAsia="Times New Roman" w:hAnsi="Times New Roman"/>
          <w:b/>
          <w:bCs/>
          <w:color w:val="1F3864"/>
          <w:sz w:val="28"/>
          <w:szCs w:val="28"/>
        </w:rPr>
        <w:t xml:space="preserve">3. Retrieval Strategy: Dense, Lexical and Hybrid</w:t>
      </w:r>
    </w:p>
    <w:p>
      <w:pPr>
        <w:spacing w:after="120" w:line="300"/>
        <w:jc w:val="both"/>
      </w:pPr>
      <w:r>
        <w:rPr>
          <w:rFonts w:ascii="Times New Roman" w:cs="Times New Roman" w:eastAsia="Times New Roman" w:hAnsi="Times New Roman"/>
          <w:b w:val="false"/>
          <w:bCs w:val="false"/>
          <w:i w:val="false"/>
          <w:iCs w:val="false"/>
          <w:sz w:val="22"/>
          <w:szCs w:val="22"/>
        </w:rPr>
        <w:t xml:space="preserve">Karpukhin et al. [3] demonstrated that a dense dual-encoder retriever, trained on relatively few question-passage pairs, outperforms a strong Lucene BM25 baseline by 9–19% absolute in top-20 retrieval accuracy, establishing dense retrieval as the default for open-domain question answering.</w:t>
      </w:r>
    </w:p>
    <w:p>
      <w:pPr>
        <w:spacing w:after="120" w:line="300"/>
        <w:jc w:val="both"/>
      </w:pPr>
      <w:r>
        <w:rPr>
          <w:rFonts w:ascii="Times New Roman" w:cs="Times New Roman" w:eastAsia="Times New Roman" w:hAnsi="Times New Roman"/>
          <w:b w:val="false"/>
          <w:bCs w:val="false"/>
          <w:i w:val="false"/>
          <w:iCs w:val="false"/>
          <w:sz w:val="22"/>
          <w:szCs w:val="22"/>
        </w:rPr>
        <w:t xml:space="preserve">Adopting that conclusion uncritically would be a mistake in an enterprise setting, and the reason is instructive. Dense retrieval succeeds by capturing semantic similarity, which is precisely the wrong property when a user searches for an exact token — an invoice number, a clause reference such as 'Section 7.3(b)', or a part code. Embeddings place semantically similar items near one another, but an invoice number is not semantically similar to anything; it must be matched literally. Lexical and dense retrieval therefore fail in complementary ways, and EAIOS combines both. The literature supports each method individually; the hybrid decision is an engineering response to a deployment reality that the benchmarks do not measure.</w:t>
      </w:r>
    </w:p>
    <w:p>
      <w:pPr>
        <w:pStyle w:val="Heading1"/>
        <w:spacing w:after="120" w:before="260"/>
      </w:pPr>
      <w:r>
        <w:rPr>
          <w:rFonts w:ascii="Times New Roman" w:cs="Times New Roman" w:eastAsia="Times New Roman" w:hAnsi="Times New Roman"/>
          <w:b/>
          <w:bCs/>
          <w:color w:val="1F3864"/>
          <w:sz w:val="28"/>
          <w:szCs w:val="28"/>
        </w:rPr>
        <w:t xml:space="preserve">4. Hallucination, Grounding and Trust</w:t>
      </w:r>
    </w:p>
    <w:p>
      <w:pPr>
        <w:spacing w:after="120" w:line="300"/>
        <w:jc w:val="both"/>
      </w:pPr>
      <w:r>
        <w:rPr>
          <w:rFonts w:ascii="Times New Roman" w:cs="Times New Roman" w:eastAsia="Times New Roman" w:hAnsi="Times New Roman"/>
          <w:b w:val="false"/>
          <w:bCs w:val="false"/>
          <w:i w:val="false"/>
          <w:iCs w:val="false"/>
          <w:sz w:val="22"/>
          <w:szCs w:val="22"/>
        </w:rPr>
        <w:t xml:space="preserve">Ji et al. [4] provide the standard survey of hallucination in natural language generation and distinguish intrinsic hallucination, which contradicts the source, from extrinsic hallucination, which the source cannot verify. Their framing is directly operational for this project. Intrinsic hallucination is detectable by comparison against retrieved context. Extrinsic hallucination is more dangerous in an enterprise setting precisely because it is undetectable by inspection: a fluent, confident, unverifiable answer is indistinguishable from a correct one, and a user acting on it has no signal that anything is wrong.</w:t>
      </w:r>
    </w:p>
    <w:p>
      <w:pPr>
        <w:spacing w:after="120" w:line="300"/>
        <w:jc w:val="both"/>
      </w:pPr>
      <w:r>
        <w:rPr>
          <w:rFonts w:ascii="Times New Roman" w:cs="Times New Roman" w:eastAsia="Times New Roman" w:hAnsi="Times New Roman"/>
          <w:b w:val="false"/>
          <w:bCs w:val="false"/>
          <w:i w:val="false"/>
          <w:iCs w:val="false"/>
          <w:sz w:val="22"/>
          <w:szCs w:val="22"/>
        </w:rPr>
        <w:t xml:space="preserve">EAIOS responds with three mechanisms drawn from this analysis: every answer carries document-level citations so that verification is possible without trusting the model; every answer carries an explicit confidence score so that uncertainty is visible rather than hidden by fluent prose; and when retrieval returns nothing, the system states that the knowledge base contains no relevant material instead of generating an answer from parametric memory. The last behaviour was verified experimentally — an empty workspace asked to summarise confidential contracts returned a statement of absence with zero citations and a low confidence score, not a fabrication.</w:t>
      </w:r>
    </w:p>
    <w:p>
      <w:pPr>
        <w:pStyle w:val="Heading1"/>
        <w:spacing w:after="120" w:before="260"/>
      </w:pPr>
      <w:r>
        <w:rPr>
          <w:rFonts w:ascii="Times New Roman" w:cs="Times New Roman" w:eastAsia="Times New Roman" w:hAnsi="Times New Roman"/>
          <w:b/>
          <w:bCs/>
          <w:color w:val="1F3864"/>
          <w:sz w:val="28"/>
          <w:szCs w:val="28"/>
        </w:rPr>
        <w:t xml:space="preserve">5. Agent Architectures</w:t>
      </w:r>
    </w:p>
    <w:p>
      <w:pPr>
        <w:spacing w:after="120" w:line="300"/>
        <w:jc w:val="both"/>
      </w:pPr>
      <w:r>
        <w:rPr>
          <w:rFonts w:ascii="Times New Roman" w:cs="Times New Roman" w:eastAsia="Times New Roman" w:hAnsi="Times New Roman"/>
          <w:b w:val="false"/>
          <w:bCs w:val="false"/>
          <w:i w:val="false"/>
          <w:iCs w:val="false"/>
          <w:sz w:val="22"/>
          <w:szCs w:val="22"/>
        </w:rPr>
        <w:t xml:space="preserve">Yao et al. [5] proposed ReAct, interleaving reasoning traces with task-specific actions so that reasoning informs which tool to invoke and tool output informs subsequent reasoning. They report gains in both task performance and, importantly for enterprise use, human interpretability and trustworthiness, because the reasoning trace makes the system's behaviour inspectable.</w:t>
      </w:r>
    </w:p>
    <w:p>
      <w:pPr>
        <w:spacing w:after="120" w:line="300"/>
        <w:jc w:val="both"/>
      </w:pPr>
      <w:r>
        <w:rPr>
          <w:rFonts w:ascii="Times New Roman" w:cs="Times New Roman" w:eastAsia="Times New Roman" w:hAnsi="Times New Roman"/>
          <w:b w:val="false"/>
          <w:bCs w:val="false"/>
          <w:i w:val="false"/>
          <w:iCs w:val="false"/>
          <w:sz w:val="22"/>
          <w:szCs w:val="22"/>
        </w:rPr>
        <w:t xml:space="preserve">EAIOS generalises this to a fleet of specialised agents — document question-answering, SQL, research, reporting, planning, email drafting, meeting summarisation and user-authored custom agents — coordinated by an orchestrator that routes a request to one or more of them and executes independent branches in parallel. The design accepts ReAct's premise that reasoning and acting belong together, while adding a routing layer the original work does not address. The associated risk is recognised by OWASP [8] under 'excessive agency': an agent able to act is an agent able to act wrongly, which is why the SQL agent in this system is confined by both a query guard and a restricted database role.</w:t>
      </w:r>
    </w:p>
    <w:p>
      <w:pPr>
        <w:pStyle w:val="Heading1"/>
        <w:spacing w:after="120" w:before="260"/>
      </w:pPr>
      <w:r>
        <w:rPr>
          <w:rFonts w:ascii="Times New Roman" w:cs="Times New Roman" w:eastAsia="Times New Roman" w:hAnsi="Times New Roman"/>
          <w:b/>
          <w:bCs/>
          <w:color w:val="1F3864"/>
          <w:sz w:val="28"/>
          <w:szCs w:val="28"/>
        </w:rPr>
        <w:t xml:space="preserve">6. Structured Data and Text-to-SQL</w:t>
      </w:r>
    </w:p>
    <w:p>
      <w:pPr>
        <w:spacing w:after="120" w:line="300"/>
        <w:jc w:val="both"/>
      </w:pPr>
      <w:r>
        <w:rPr>
          <w:rFonts w:ascii="Times New Roman" w:cs="Times New Roman" w:eastAsia="Times New Roman" w:hAnsi="Times New Roman"/>
          <w:b w:val="false"/>
          <w:bCs w:val="false"/>
          <w:i w:val="false"/>
          <w:iCs w:val="false"/>
          <w:sz w:val="22"/>
          <w:szCs w:val="22"/>
        </w:rPr>
        <w:t xml:space="preserve">Yu et al. [6] released Spider, comprising 10,181 human-annotated questions over 5,693 unique SQL queries across 200 databases spanning 138 domains, with train and test databases deliberately disjoint to force generalisation to unseen schemas. The best system at publication achieved 9.7% exact-match accuracy under the database split, establishing the difficulty of the task.</w:t>
      </w:r>
    </w:p>
    <w:p>
      <w:pPr>
        <w:spacing w:after="120" w:line="300"/>
        <w:jc w:val="both"/>
      </w:pPr>
      <w:r>
        <w:rPr>
          <w:rFonts w:ascii="Times New Roman" w:cs="Times New Roman" w:eastAsia="Times New Roman" w:hAnsi="Times New Roman"/>
          <w:b w:val="false"/>
          <w:bCs w:val="false"/>
          <w:i w:val="false"/>
          <w:iCs w:val="false"/>
          <w:sz w:val="22"/>
          <w:szCs w:val="22"/>
        </w:rPr>
        <w:t xml:space="preserve">Two consequences follow for this project. First, questions of the form 'what was the total spend last quarter' are arithmetic over structured data and cannot be answered reliably by retrieving semantically similar text; EAIOS therefore extracts tables from uploaded spreadsheets and PDFs and materialises them as real SQL tables that the agent queries directly. Second — and this is where the security literature meets the semantic-parsing literature — if generated SQL cannot be assumed correct, it certainly cannot be assumed safe. This project treats generated SQL as untrusted input to the database, which is a stance the text-to-SQL literature, focused on accuracy metrics, does not emphasise.</w:t>
      </w:r>
    </w:p>
    <w:p>
      <w:pPr>
        <w:pStyle w:val="Heading1"/>
        <w:spacing w:after="120" w:before="260"/>
      </w:pPr>
      <w:r>
        <w:rPr>
          <w:rFonts w:ascii="Times New Roman" w:cs="Times New Roman" w:eastAsia="Times New Roman" w:hAnsi="Times New Roman"/>
          <w:b/>
          <w:bCs/>
          <w:color w:val="1F3864"/>
          <w:sz w:val="28"/>
          <w:szCs w:val="28"/>
        </w:rPr>
        <w:t xml:space="preserve">7. Graph-Based Retrieval</w:t>
      </w:r>
    </w:p>
    <w:p>
      <w:pPr>
        <w:spacing w:after="120" w:line="300"/>
        <w:jc w:val="both"/>
      </w:pPr>
      <w:r>
        <w:rPr>
          <w:rFonts w:ascii="Times New Roman" w:cs="Times New Roman" w:eastAsia="Times New Roman" w:hAnsi="Times New Roman"/>
          <w:b w:val="false"/>
          <w:bCs w:val="false"/>
          <w:i w:val="false"/>
          <w:iCs w:val="false"/>
          <w:sz w:val="22"/>
          <w:szCs w:val="22"/>
        </w:rPr>
        <w:t xml:space="preserve">Edge et al. [7] observe that conventional RAG fails on global questions addressed to an entire corpus — 'what are the main themes across these documents?' — because such questions are query-focused summarisation rather than retrieval, and no single retrieved chunk contains the answer. Their GraphRAG approach constructs an entity graph over the corpus and summarises communities within it, enabling corpus-level answers that scale with both question generality and corpus size.</w:t>
      </w:r>
    </w:p>
    <w:p>
      <w:pPr>
        <w:spacing w:after="120" w:line="300"/>
        <w:jc w:val="both"/>
      </w:pPr>
      <w:r>
        <w:rPr>
          <w:rFonts w:ascii="Times New Roman" w:cs="Times New Roman" w:eastAsia="Times New Roman" w:hAnsi="Times New Roman"/>
          <w:b w:val="false"/>
          <w:bCs w:val="false"/>
          <w:i w:val="false"/>
          <w:iCs w:val="false"/>
          <w:sz w:val="22"/>
          <w:szCs w:val="22"/>
        </w:rPr>
        <w:t xml:space="preserve">EAIOS incorporates a lightweight variant: entities and their co-occurrence relationships are extracted during ingestion into a per-workspace knowledge graph, supporting exploration and relationship queries. The full community-summarisation pipeline is not implemented, being computationally costly for a system that must ingest documents interactively; this is stated as a limitation and an avenue for future work rather than claimed as a contribution.</w:t>
      </w:r>
    </w:p>
    <w:p>
      <w:pPr>
        <w:pStyle w:val="Heading1"/>
        <w:spacing w:after="120" w:before="260"/>
      </w:pPr>
      <w:r>
        <w:rPr>
          <w:rFonts w:ascii="Times New Roman" w:cs="Times New Roman" w:eastAsia="Times New Roman" w:hAnsi="Times New Roman"/>
          <w:b/>
          <w:bCs/>
          <w:color w:val="1F3864"/>
          <w:sz w:val="28"/>
          <w:szCs w:val="28"/>
        </w:rPr>
        <w:t xml:space="preserve">8. Security and Multi-Tenant Isolation</w:t>
      </w:r>
    </w:p>
    <w:p>
      <w:pPr>
        <w:pStyle w:val="Heading2"/>
        <w:spacing w:after="100" w:before="200"/>
      </w:pPr>
      <w:r>
        <w:rPr>
          <w:rFonts w:ascii="Times New Roman" w:cs="Times New Roman" w:eastAsia="Times New Roman" w:hAnsi="Times New Roman"/>
          <w:b/>
          <w:bCs/>
          <w:color w:val="2E5496"/>
          <w:sz w:val="24"/>
          <w:szCs w:val="24"/>
        </w:rPr>
        <w:t xml:space="preserve">8.1 The threat model</w:t>
      </w:r>
    </w:p>
    <w:p>
      <w:pPr>
        <w:spacing w:after="120" w:line="300"/>
        <w:jc w:val="both"/>
      </w:pPr>
      <w:r>
        <w:rPr>
          <w:rFonts w:ascii="Times New Roman" w:cs="Times New Roman" w:eastAsia="Times New Roman" w:hAnsi="Times New Roman"/>
          <w:b w:val="false"/>
          <w:bCs w:val="false"/>
          <w:i w:val="false"/>
          <w:iCs w:val="false"/>
          <w:sz w:val="22"/>
          <w:szCs w:val="22"/>
        </w:rPr>
        <w:t xml:space="preserve">The OWASP Top 10 for Large Language Model Applications [8] ranks prompt injection first for the second consecutive edition and introduces excessive agency, system prompt leakage and misinformation as categories reflecting real deployment experience. For a system in which a language model composes SQL that is then executed against a live multi-tenant database, these are not abstract categories: prompt injection is the attack and excessive agency is the mechanism by which it causes damage.</w:t>
      </w:r>
    </w:p>
    <w:p>
      <w:pPr>
        <w:pStyle w:val="Heading2"/>
        <w:spacing w:after="100" w:before="200"/>
      </w:pPr>
      <w:r>
        <w:rPr>
          <w:rFonts w:ascii="Times New Roman" w:cs="Times New Roman" w:eastAsia="Times New Roman" w:hAnsi="Times New Roman"/>
          <w:b/>
          <w:bCs/>
          <w:color w:val="2E5496"/>
          <w:sz w:val="24"/>
          <w:szCs w:val="24"/>
        </w:rPr>
        <w:t xml:space="preserve">8.2 Isolation patterns and their weaknesses</w:t>
      </w:r>
    </w:p>
    <w:p>
      <w:pPr>
        <w:spacing w:after="120" w:line="300"/>
        <w:jc w:val="both"/>
      </w:pPr>
      <w:r>
        <w:rPr>
          <w:rFonts w:ascii="Times New Roman" w:cs="Times New Roman" w:eastAsia="Times New Roman" w:hAnsi="Times New Roman"/>
          <w:b w:val="false"/>
          <w:bCs w:val="false"/>
          <w:i w:val="false"/>
          <w:iCs w:val="false"/>
          <w:sz w:val="22"/>
          <w:szCs w:val="22"/>
        </w:rPr>
        <w:t xml:space="preserve">Industry architecture guidance [10] identifies three multi-tenancy patterns — database-per-tenant, schema-per-tenant, and a shared schema in which each row carries a tenant identifier. The shared-schema model is the densest and cheapest and is the default for SaaS at scale, but it provides the weakest isolation because enforcement depends wholly on application logic; a single programming error, a compromised credential or a privileged operator can expose every tenant simultaneously. The recommended mitigation is Row-Level Security enforced by the database beneath the application layer, so that isolation does not depend on every query being written correctly.</w:t>
      </w:r>
    </w:p>
    <w:p>
      <w:pPr>
        <w:pStyle w:val="Heading2"/>
        <w:spacing w:after="100" w:before="200"/>
      </w:pPr>
      <w:r>
        <w:rPr>
          <w:rFonts w:ascii="Times New Roman" w:cs="Times New Roman" w:eastAsia="Times New Roman" w:hAnsi="Times New Roman"/>
          <w:b/>
          <w:bCs/>
          <w:color w:val="2E5496"/>
          <w:sz w:val="24"/>
          <w:szCs w:val="24"/>
        </w:rPr>
        <w:t xml:space="preserve">8.3 How this project responds, and the evidence for it</w:t>
      </w:r>
    </w:p>
    <w:p>
      <w:pPr>
        <w:spacing w:after="120" w:line="300"/>
        <w:jc w:val="both"/>
      </w:pPr>
      <w:r>
        <w:rPr>
          <w:rFonts w:ascii="Times New Roman" w:cs="Times New Roman" w:eastAsia="Times New Roman" w:hAnsi="Times New Roman"/>
          <w:b w:val="false"/>
          <w:bCs w:val="false"/>
          <w:i w:val="false"/>
          <w:iCs w:val="false"/>
          <w:sz w:val="22"/>
          <w:szCs w:val="22"/>
        </w:rPr>
        <w:t xml:space="preserve">EAIOS implements the shared-schema pattern with isolation at three independent layers: an ORM-level filter that scopes every query to the calling workspace; a fail-closed guard that rewrites model-generated SQL to reference only the caller's rows; and PostgreSQL Row-Level Security policies applied through a dedicated low-privilege role. The third layer exists because the second was empirically shown to be insufficient. During structured testing, a schema-qualified table reference bypassed the pattern-matching guard and returned records belonging to every workspace on the deployment. The defect was reproduced, corrected and regression-tested; the database-level policy was then added so that a comparable future failure cannot leak data, since the executing role has no visibility of other tenants' rows at all.</w:t>
      </w:r>
    </w:p>
    <w:p>
      <w:pPr>
        <w:spacing w:after="120" w:line="300"/>
        <w:jc w:val="both"/>
      </w:pPr>
      <w:r>
        <w:rPr>
          <w:rFonts w:ascii="Times New Roman" w:cs="Times New Roman" w:eastAsia="Times New Roman" w:hAnsi="Times New Roman"/>
          <w:b w:val="false"/>
          <w:bCs w:val="false"/>
          <w:i w:val="false"/>
          <w:iCs w:val="false"/>
          <w:sz w:val="22"/>
          <w:szCs w:val="22"/>
        </w:rPr>
        <w:t xml:space="preserve">This finding is the strongest justification the literature's recommendation could receive. The guidance in [10] argues from principle that application-layer isolation is insufficient; this project observed that insufficiency directly, in its own code, and responded by moving the guarantee into the database.</w:t>
      </w:r>
    </w:p>
    <w:p>
      <w:r>
        <w:br w:type="page"/>
      </w:r>
    </w:p>
    <w:p>
      <w:pPr>
        <w:pStyle w:val="Heading1"/>
        <w:spacing w:after="120" w:before="260"/>
      </w:pPr>
      <w:r>
        <w:rPr>
          <w:rFonts w:ascii="Times New Roman" w:cs="Times New Roman" w:eastAsia="Times New Roman" w:hAnsi="Times New Roman"/>
          <w:b/>
          <w:bCs/>
          <w:color w:val="1F3864"/>
          <w:sz w:val="28"/>
          <w:szCs w:val="28"/>
        </w:rPr>
        <w:t xml:space="preserve">9. Consolidated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50"/>
        <w:gridCol w:w="1750"/>
        <w:gridCol w:w="2200"/>
        <w:gridCol w:w="2350"/>
        <w:gridCol w:w="2450"/>
      </w:tblGrid>
      <w:tr>
        <w:trPr>
          <w:tblHeader/>
        </w:trPr>
        <w:tc>
          <w:tcPr>
            <w:tcW w:type="dxa" w:w="65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Ref.</w:t>
            </w:r>
          </w:p>
        </w:tc>
        <w:tc>
          <w:tcPr>
            <w:tcW w:type="dxa" w:w="175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Work / Source</w:t>
            </w:r>
          </w:p>
        </w:tc>
        <w:tc>
          <w:tcPr>
            <w:tcW w:type="dxa" w:w="22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Contribution</w:t>
            </w:r>
          </w:p>
        </w:tc>
        <w:tc>
          <w:tcPr>
            <w:tcW w:type="dxa" w:w="235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Limitation for this project</w:t>
            </w:r>
          </w:p>
        </w:tc>
        <w:tc>
          <w:tcPr>
            <w:tcW w:type="dxa" w:w="245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EAIOS response</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Lewis et al., NeurIPS 2020</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RAG: parametric + retrieved non-parametric memory</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Single-corpus; no tenancy model</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Per-workspace corpora with enforced isolation</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Gao et al., 2023</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Survey; Naive/Advanced/Modular RAG taxonomy</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Descriptive; no security treatment</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Modular pipeline enabling graceful degradation</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Karpukhin et al., EMNLP 2020</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Dense retrieval beats BM25 by 9–19%</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Weak on exact identifiers</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Hybrid lexical + dense retrieval</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[4]</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Ji et al., ACM CSUR 2023</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Intrinsic vs extrinsic hallucination</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Diagnostic, not prescriptive</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Mandatory citations, confidence scores, honest empty-state</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[5]</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Yao et al., ICLR 2023</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ReAct: interleaved reasoning and acting</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Single agent; no routing</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Orchestrated fleet with parallel branches</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[6]</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Yu et al., EMNLP 2018</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Spider text-to-SQL benchmark</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Optimises accuracy, not execution safety</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Extracted SQL tables + guard + restricted role</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[7]</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Edge et al., 2024</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GraphRAG for corpus-level questions</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Computationally heavy for live ingestion</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Lightweight per-workspace entity graph</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[8]</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OWASP LLM Top 10, 2025</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Prompt injection and excessive agency ranked highest</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Guidance, not implementation</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Layered guard, restricted role, full audit trail</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[9]</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McKinsey State of AI, 2025</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78% adoption, ~6% scaled enterprise-wide</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Market data, not technical</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Establishes the operationalisation gap</w:t>
            </w:r>
          </w:p>
        </w:tc>
      </w:tr>
      <w:tr>
        <w:tc>
          <w:tcPr>
            <w:tcW w:type="dxa" w:w="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[10]</w:t>
            </w:r>
          </w:p>
        </w:tc>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Multi-tenancy / RLS guidance</w:t>
            </w:r>
          </w:p>
        </w:tc>
        <w:tc>
          <w:tcPr>
            <w:tcW w:type="dxa" w:w="2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Shared schema is cheapest but weakest; RLS advised</w:t>
            </w:r>
          </w:p>
        </w:tc>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Written for CRUD, not LLM-composed queries</w:t>
            </w:r>
          </w:p>
        </w:tc>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RLS beneath an LLM-facing SQL agent</w:t>
            </w:r>
          </w:p>
        </w:tc>
      </w:tr>
    </w:tbl>
    <w:p>
      <w:pPr>
        <w:spacing w:after="200" w:before="80"/>
        <w:jc w:val="center"/>
      </w:pPr>
      <w:r>
        <w:rPr>
          <w:rFonts w:ascii="Times New Roman" w:cs="Times New Roman" w:eastAsia="Times New Roman" w:hAnsi="Times New Roman"/>
          <w:i/>
          <w:iCs/>
          <w:sz w:val="19"/>
          <w:szCs w:val="19"/>
        </w:rPr>
        <w:t xml:space="preserve">Table 1: Consolidated review of the literature and this project's response</w:t>
      </w:r>
    </w:p>
    <w:p>
      <w:pPr>
        <w:pStyle w:val="Heading1"/>
        <w:spacing w:after="120" w:before="260"/>
      </w:pPr>
      <w:r>
        <w:rPr>
          <w:rFonts w:ascii="Times New Roman" w:cs="Times New Roman" w:eastAsia="Times New Roman" w:hAnsi="Times New Roman"/>
          <w:b/>
          <w:bCs/>
          <w:color w:val="1F3864"/>
          <w:sz w:val="28"/>
          <w:szCs w:val="28"/>
        </w:rPr>
        <w:t xml:space="preserve">10. Research Gap</w:t>
      </w:r>
    </w:p>
    <w:p>
      <w:pPr>
        <w:spacing w:after="120" w:line="300"/>
        <w:jc w:val="both"/>
      </w:pPr>
      <w:r>
        <w:rPr>
          <w:rFonts w:ascii="Times New Roman" w:cs="Times New Roman" w:eastAsia="Times New Roman" w:hAnsi="Times New Roman"/>
          <w:b w:val="false"/>
          <w:bCs w:val="false"/>
          <w:i w:val="false"/>
          <w:iCs w:val="false"/>
          <w:sz w:val="22"/>
          <w:szCs w:val="22"/>
        </w:rPr>
        <w:t xml:space="preserve">The reviewed work solves each constituent problem in isolation. Retrieval-augmented generation is well established [1][2]; retrieval strategy is well characterised [3]; hallucination is well diagnosed [4]; agent reasoning is well formulated [5]; text-to-SQL is well benchmarked [6]; graph-based summarisation is emerging [7]; the threat model is documented [8]; and multi-tenant isolation patterns are specified [10]. No reviewed source combines them. Specifically, the following gaps were identified:</w:t>
      </w:r>
    </w:p>
    <w:p>
      <w:pPr>
        <w:pStyle w:val="ListParagraph"/>
        <w:numPr>
          <w:ilvl w:val="0"/>
          <w:numId w:val="2"/>
        </w:numPr>
        <w:spacing w:after="70" w:line="290"/>
      </w:pPr>
      <w:r>
        <w:rPr>
          <w:rFonts w:ascii="Times New Roman" w:cs="Times New Roman" w:eastAsia="Times New Roman" w:hAnsi="Times New Roman"/>
          <w:sz w:val="22"/>
          <w:szCs w:val="22"/>
        </w:rPr>
        <w:t xml:space="preserve">Multi-tenant RAG is largely unstudied. Retrieval research assumes one corpus; it does not address the case in which retrieving the wrong document constitutes a confidentiality breach.</w:t>
      </w:r>
    </w:p>
    <w:p>
      <w:pPr>
        <w:pStyle w:val="ListParagraph"/>
        <w:numPr>
          <w:ilvl w:val="0"/>
          <w:numId w:val="2"/>
        </w:numPr>
        <w:spacing w:after="70" w:line="290"/>
      </w:pPr>
      <w:r>
        <w:rPr>
          <w:rFonts w:ascii="Times New Roman" w:cs="Times New Roman" w:eastAsia="Times New Roman" w:hAnsi="Times New Roman"/>
          <w:sz w:val="22"/>
          <w:szCs w:val="22"/>
        </w:rPr>
        <w:t xml:space="preserve">Text-to-SQL security is under-examined. The literature optimises execution accuracy on benchmarks; the safety of executing model-generated SQL against a live shared database receives little attention.</w:t>
      </w:r>
    </w:p>
    <w:p>
      <w:pPr>
        <w:pStyle w:val="ListParagraph"/>
        <w:numPr>
          <w:ilvl w:val="0"/>
          <w:numId w:val="2"/>
        </w:numPr>
        <w:spacing w:after="70" w:line="290"/>
      </w:pPr>
      <w:r>
        <w:rPr>
          <w:rFonts w:ascii="Times New Roman" w:cs="Times New Roman" w:eastAsia="Times New Roman" w:hAnsi="Times New Roman"/>
          <w:sz w:val="22"/>
          <w:szCs w:val="22"/>
        </w:rPr>
        <w:t xml:space="preserve">Multi-tenancy guidance predates LLM-composed queries. Established isolation patterns assume queries written by programmers and reviewed by humans, not composed at runtime by a language model.</w:t>
      </w:r>
    </w:p>
    <w:p>
      <w:pPr>
        <w:pStyle w:val="ListParagraph"/>
        <w:numPr>
          <w:ilvl w:val="0"/>
          <w:numId w:val="2"/>
        </w:numPr>
        <w:spacing w:after="70" w:line="290"/>
      </w:pPr>
      <w:r>
        <w:rPr>
          <w:rFonts w:ascii="Times New Roman" w:cs="Times New Roman" w:eastAsia="Times New Roman" w:hAnsi="Times New Roman"/>
          <w:sz w:val="22"/>
          <w:szCs w:val="22"/>
        </w:rPr>
        <w:t xml:space="preserve">No integrated open system was found. Existing offerings are either closed commercial products or developer libraries lacking tenancy, roles, audit and interface.</w:t>
      </w:r>
    </w:p>
    <w:p>
      <w:pPr>
        <w:pStyle w:val="ListParagraph"/>
        <w:numPr>
          <w:ilvl w:val="0"/>
          <w:numId w:val="2"/>
        </w:numPr>
        <w:spacing w:after="70" w:line="290"/>
      </w:pPr>
      <w:r>
        <w:rPr>
          <w:rFonts w:ascii="Times New Roman" w:cs="Times New Roman" w:eastAsia="Times New Roman" w:hAnsi="Times New Roman"/>
          <w:sz w:val="22"/>
          <w:szCs w:val="22"/>
        </w:rPr>
        <w:t xml:space="preserve">Isolation is asserted rather than demonstrated. Comparable systems claim tenant separation; this project could find no published account of that claim being adversarially tested and the results reported.</w:t>
      </w:r>
    </w:p>
    <w:p>
      <w:pPr>
        <w:pStyle w:val="Heading1"/>
        <w:spacing w:after="120" w:before="260"/>
      </w:pPr>
      <w:r>
        <w:rPr>
          <w:rFonts w:ascii="Times New Roman" w:cs="Times New Roman" w:eastAsia="Times New Roman" w:hAnsi="Times New Roman"/>
          <w:b/>
          <w:bCs/>
          <w:color w:val="1F3864"/>
          <w:sz w:val="28"/>
          <w:szCs w:val="28"/>
        </w:rPr>
        <w:t xml:space="preserve">11. Summary</w:t>
      </w:r>
    </w:p>
    <w:p>
      <w:pPr>
        <w:spacing w:after="120" w:line="300"/>
        <w:jc w:val="both"/>
      </w:pPr>
      <w:r>
        <w:rPr>
          <w:rFonts w:ascii="Times New Roman" w:cs="Times New Roman" w:eastAsia="Times New Roman" w:hAnsi="Times New Roman"/>
          <w:b w:val="false"/>
          <w:bCs w:val="false"/>
          <w:i w:val="false"/>
          <w:iCs w:val="false"/>
          <w:sz w:val="22"/>
          <w:szCs w:val="22"/>
        </w:rPr>
        <w:t xml:space="preserve">The literature provides EAIOS with its components: retrieval-augmented generation for grounding, hybrid retrieval for recall, citation and confidence for trust, ReAct-style agents for reasoning with tools, materialised tables for structured questions, entity graphs for corpus-level questions, and Row-Level Security for isolation. The project's contribution is not the invention of any one of these but their integration into a single governed platform — and, more particularly, the empirical demonstration that in such a platform the isolation guarantee must be enforced by the database, a claim this project supports with a reproduced failure of its own application-layer guard rather than with argument alone.</w:t>
      </w:r>
    </w:p>
    <w:p>
      <w:pPr>
        <w:pStyle w:val="Heading1"/>
        <w:spacing w:after="120" w:before="260"/>
      </w:pPr>
      <w:r>
        <w:rPr>
          <w:rFonts w:ascii="Times New Roman" w:cs="Times New Roman" w:eastAsia="Times New Roman" w:hAnsi="Times New Roman"/>
          <w:b/>
          <w:bCs/>
          <w:color w:val="1F3864"/>
          <w:sz w:val="28"/>
          <w:szCs w:val="28"/>
        </w:rPr>
        <w:t xml:space="preserve">12. References</w:t>
      </w:r>
    </w:p>
    <w:p>
      <w:pPr>
        <w:pStyle w:val="ListParagraph"/>
        <w:numPr>
          <w:ilvl w:val="0"/>
          <w:numId w:val="3"/>
        </w:numPr>
        <w:spacing w:after="70" w:line="290"/>
      </w:pPr>
      <w:r>
        <w:rPr>
          <w:rFonts w:ascii="Times New Roman" w:cs="Times New Roman" w:eastAsia="Times New Roman" w:hAnsi="Times New Roman"/>
          <w:sz w:val="22"/>
          <w:szCs w:val="22"/>
        </w:rPr>
        <w:t xml:space="preserve">P. Lewis, E. Perez, A. Piktus, F. Petroni, V. Karpukhin, N. Goyal, H. Küttler, M. Lewis, W. Yih, T. Rocktäschel, S. Riedel and D. Kiela, "Retrieval-Augmented Generation for Knowledge-Intensive NLP Tasks," Advances in Neural Information Processing Systems (NeurIPS), vol. 33, pp. 9459–9474, 2020.</w:t>
      </w:r>
    </w:p>
    <w:p>
      <w:pPr>
        <w:pStyle w:val="ListParagraph"/>
        <w:numPr>
          <w:ilvl w:val="0"/>
          <w:numId w:val="3"/>
        </w:numPr>
        <w:spacing w:after="70" w:line="290"/>
      </w:pPr>
      <w:r>
        <w:rPr>
          <w:rFonts w:ascii="Times New Roman" w:cs="Times New Roman" w:eastAsia="Times New Roman" w:hAnsi="Times New Roman"/>
          <w:sz w:val="22"/>
          <w:szCs w:val="22"/>
        </w:rPr>
        <w:t xml:space="preserve">Y. Gao, Y. Xiong, X. Gao, K. Jia, J. Pan, Y. Bi, Y. Dai, J. Sun and H. Wang, "Retrieval-Augmented Generation for Large Language Models: A Survey," arXiv:2312.10997, 2023.</w:t>
      </w:r>
    </w:p>
    <w:p>
      <w:pPr>
        <w:pStyle w:val="ListParagraph"/>
        <w:numPr>
          <w:ilvl w:val="0"/>
          <w:numId w:val="3"/>
        </w:numPr>
        <w:spacing w:after="70" w:line="290"/>
      </w:pPr>
      <w:r>
        <w:rPr>
          <w:rFonts w:ascii="Times New Roman" w:cs="Times New Roman" w:eastAsia="Times New Roman" w:hAnsi="Times New Roman"/>
          <w:sz w:val="22"/>
          <w:szCs w:val="22"/>
        </w:rPr>
        <w:t xml:space="preserve">V. Karpukhin, B. Oğuz, S. Min, P. Lewis, L. Wu, S. Edunov, D. Chen and W. Yih, "Dense Passage Retrieval for Open-Domain Question Answering," Proc. EMNLP, pp. 6769–6781, 2020.</w:t>
      </w:r>
    </w:p>
    <w:p>
      <w:pPr>
        <w:pStyle w:val="ListParagraph"/>
        <w:numPr>
          <w:ilvl w:val="0"/>
          <w:numId w:val="3"/>
        </w:numPr>
        <w:spacing w:after="70" w:line="290"/>
      </w:pPr>
      <w:r>
        <w:rPr>
          <w:rFonts w:ascii="Times New Roman" w:cs="Times New Roman" w:eastAsia="Times New Roman" w:hAnsi="Times New Roman"/>
          <w:sz w:val="22"/>
          <w:szCs w:val="22"/>
        </w:rPr>
        <w:t xml:space="preserve">Z. Ji, N. Lee, R. Frieske, T. Yu, D. Su, Y. Xu, E. Ishii, Y. J. Bang, A. Madotto and P. Fung, "Survey of Hallucination in Natural Language Generation," ACM Computing Surveys, vol. 55, no. 12, art. 248, 2023.</w:t>
      </w:r>
    </w:p>
    <w:p>
      <w:pPr>
        <w:pStyle w:val="ListParagraph"/>
        <w:numPr>
          <w:ilvl w:val="0"/>
          <w:numId w:val="3"/>
        </w:numPr>
        <w:spacing w:after="70" w:line="290"/>
      </w:pPr>
      <w:r>
        <w:rPr>
          <w:rFonts w:ascii="Times New Roman" w:cs="Times New Roman" w:eastAsia="Times New Roman" w:hAnsi="Times New Roman"/>
          <w:sz w:val="22"/>
          <w:szCs w:val="22"/>
        </w:rPr>
        <w:t xml:space="preserve">S. Yao, J. Zhao, D. Yu, N. Du, I. Shafran, K. Narasimhan and Y. Cao, "ReAct: Synergizing Reasoning and Acting in Language Models," Proc. 11th Int. Conf. on Learning Representations (ICLR), 2023.</w:t>
      </w:r>
    </w:p>
    <w:p>
      <w:pPr>
        <w:pStyle w:val="ListParagraph"/>
        <w:numPr>
          <w:ilvl w:val="0"/>
          <w:numId w:val="3"/>
        </w:numPr>
        <w:spacing w:after="70" w:line="290"/>
      </w:pPr>
      <w:r>
        <w:rPr>
          <w:rFonts w:ascii="Times New Roman" w:cs="Times New Roman" w:eastAsia="Times New Roman" w:hAnsi="Times New Roman"/>
          <w:sz w:val="22"/>
          <w:szCs w:val="22"/>
        </w:rPr>
        <w:t xml:space="preserve">T. Yu, R. Zhang, K. Yang, M. Yasunaga, D. Wang, Z. Li, J. Ma, I. Li, Q. Yao, S. Roman, Z. Zhang and D. Radev, "Spider: A Large-Scale Human-Labeled Dataset for Complex and Cross-Domain Semantic Parsing and Text-to-SQL Task," Proc. EMNLP, pp. 3911–3921, 2018.</w:t>
      </w:r>
    </w:p>
    <w:p>
      <w:pPr>
        <w:pStyle w:val="ListParagraph"/>
        <w:numPr>
          <w:ilvl w:val="0"/>
          <w:numId w:val="3"/>
        </w:numPr>
        <w:spacing w:after="70" w:line="290"/>
      </w:pPr>
      <w:r>
        <w:rPr>
          <w:rFonts w:ascii="Times New Roman" w:cs="Times New Roman" w:eastAsia="Times New Roman" w:hAnsi="Times New Roman"/>
          <w:sz w:val="22"/>
          <w:szCs w:val="22"/>
        </w:rPr>
        <w:t xml:space="preserve">D. Edge, H. Trinh, N. Cheng, J. Bradley, A. Chao, A. Mody, S. Truitt, D. Metropolitansky, R. O. Ness and J. Larson, "From Local to Global: A Graph RAG Approach to Query-Focused Summarization," arXiv:2404.16130, Microsoft Research, 2024.</w:t>
      </w:r>
    </w:p>
    <w:p>
      <w:pPr>
        <w:pStyle w:val="ListParagraph"/>
        <w:numPr>
          <w:ilvl w:val="0"/>
          <w:numId w:val="3"/>
        </w:numPr>
        <w:spacing w:after="70" w:line="290"/>
      </w:pPr>
      <w:r>
        <w:rPr>
          <w:rFonts w:ascii="Times New Roman" w:cs="Times New Roman" w:eastAsia="Times New Roman" w:hAnsi="Times New Roman"/>
          <w:sz w:val="22"/>
          <w:szCs w:val="22"/>
        </w:rPr>
        <w:t xml:space="preserve">OWASP Foundation, "OWASP Top 10 for Large Language Model Applications," 2025 edition.</w:t>
      </w:r>
    </w:p>
    <w:p>
      <w:pPr>
        <w:pStyle w:val="ListParagraph"/>
        <w:numPr>
          <w:ilvl w:val="0"/>
          <w:numId w:val="3"/>
        </w:numPr>
        <w:spacing w:after="70" w:line="290"/>
      </w:pPr>
      <w:r>
        <w:rPr>
          <w:rFonts w:ascii="Times New Roman" w:cs="Times New Roman" w:eastAsia="Times New Roman" w:hAnsi="Times New Roman"/>
          <w:sz w:val="22"/>
          <w:szCs w:val="22"/>
        </w:rPr>
        <w:t xml:space="preserve">McKinsey &amp; Company, "The State of AI: Global Survey," QuantumBlack, 2025.</w:t>
      </w:r>
    </w:p>
    <w:p>
      <w:pPr>
        <w:pStyle w:val="ListParagraph"/>
        <w:numPr>
          <w:ilvl w:val="0"/>
          <w:numId w:val="3"/>
        </w:numPr>
        <w:spacing w:after="70" w:line="290"/>
      </w:pPr>
      <w:r>
        <w:rPr>
          <w:rFonts w:ascii="Times New Roman" w:cs="Times New Roman" w:eastAsia="Times New Roman" w:hAnsi="Times New Roman"/>
          <w:sz w:val="22"/>
          <w:szCs w:val="22"/>
        </w:rPr>
        <w:t xml:space="preserve">Amazon Web Services, "Multi-tenant data isolation with PostgreSQL Row Level Security," AWS Database Blog, accessed 2026.</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2026-08-01T03:01:24.155Z</dcterms:created>
  <dcterms:modified xsi:type="dcterms:W3CDTF">2026-08-01T03:01:24.155Z</dcterms:modified>
</cp:coreProperties>
</file>

<file path=docProps/custom.xml><?xml version="1.0" encoding="utf-8"?>
<Properties xmlns="http://schemas.openxmlformats.org/officeDocument/2006/custom-properties" xmlns:vt="http://schemas.openxmlformats.org/officeDocument/2006/docPropsVTypes"/>
</file>