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i w:val="false"/>
          <w:iCs w:val="false"/>
          <w:sz w:val="30"/>
          <w:szCs w:val="30"/>
        </w:rPr>
        <w:t xml:space="preserve">EAIOS: A Multi-Tenant Enterprise AI Operating System with Hybrid Retrieval-Augmented Generation and Database-Enforced Tenant Isolation</w:t>
      </w:r>
    </w:p>
    <w:p>
      <w:pPr>
        <w:spacing w:after="60"/>
        <w:jc w:val="center"/>
      </w:pPr>
      <w:r>
        <w:rPr>
          <w:rFonts w:ascii="Times New Roman" w:cs="Times New Roman" w:eastAsia="Times New Roman" w:hAnsi="Times New Roman"/>
          <w:b w:val="false"/>
          <w:bCs w:val="false"/>
          <w:i w:val="false"/>
          <w:iCs w:val="false"/>
          <w:sz w:val="21"/>
          <w:szCs w:val="21"/>
        </w:rPr>
        <w:t xml:space="preserve">Darshan Dalvi, [Teammate Name 2], [Teammate Name 3], [Guide Name]</w:t>
      </w:r>
    </w:p>
    <w:p>
      <w:pPr>
        <w:spacing w:after="20"/>
        <w:jc w:val="center"/>
      </w:pPr>
      <w:r>
        <w:rPr>
          <w:rFonts w:ascii="Times New Roman" w:cs="Times New Roman" w:eastAsia="Times New Roman" w:hAnsi="Times New Roman"/>
          <w:b w:val="false"/>
          <w:bCs w:val="false"/>
          <w:i w:val="false"/>
          <w:iCs w:val="false"/>
          <w:sz w:val="19"/>
          <w:szCs w:val="19"/>
        </w:rPr>
        <w:t xml:space="preserve">Department of Computer Engineering</w:t>
      </w:r>
    </w:p>
    <w:p>
      <w:pPr>
        <w:spacing w:after="20"/>
        <w:jc w:val="center"/>
      </w:pPr>
      <w:r>
        <w:rPr>
          <w:rFonts w:ascii="Times New Roman" w:cs="Times New Roman" w:eastAsia="Times New Roman" w:hAnsi="Times New Roman"/>
          <w:b w:val="false"/>
          <w:bCs w:val="false"/>
          <w:i w:val="false"/>
          <w:iCs w:val="false"/>
          <w:sz w:val="19"/>
          <w:szCs w:val="19"/>
        </w:rPr>
        <w:t xml:space="preserve">Vishwaniketan's Institute of Management Entrepreneurship &amp; Engineering Technology (iMEET)</w:t>
      </w:r>
    </w:p>
    <w:p>
      <w:pPr>
        <w:spacing w:after="240"/>
        <w:jc w:val="center"/>
      </w:pPr>
      <w:r>
        <w:rPr>
          <w:rFonts w:ascii="Times New Roman" w:cs="Times New Roman" w:eastAsia="Times New Roman" w:hAnsi="Times New Roman"/>
          <w:b w:val="false"/>
          <w:bCs w:val="false"/>
          <w:i w:val="false"/>
          <w:iCs w:val="false"/>
          <w:sz w:val="19"/>
          <w:szCs w:val="19"/>
        </w:rPr>
        <w:t xml:space="preserve">Affiliated to University of Mumbai, Khalapur, Raigad, Maharashtra, India</w:t>
      </w:r>
    </w:p>
    <w:p>
      <w:pPr>
        <w:sectPr>
          <w:pgSz w:w="11906" w:h="16838" w:orient="portrait"/>
          <w:pgMar w:top="1000" w:right="1000" w:bottom="1000" w:left="1000" w:header="708" w:footer="708" w:gutter="0"/>
          <w:pgNumType/>
          <w:docGrid w:linePitch="360"/>
        </w:sectPr>
      </w:pPr>
    </w:p>
    <w:p>
      <w:pPr>
        <w:spacing w:after="70"/>
      </w:pPr>
      <w:r>
        <w:rPr>
          <w:rFonts w:ascii="Times New Roman" w:cs="Times New Roman" w:eastAsia="Times New Roman" w:hAnsi="Times New Roman"/>
          <w:b/>
          <w:bCs/>
          <w:i/>
          <w:iCs/>
          <w:sz w:val="19"/>
          <w:szCs w:val="19"/>
        </w:rPr>
        <w:t xml:space="preserve">Abstract—</w:t>
      </w:r>
      <w:r>
        <w:rPr>
          <w:rFonts w:ascii="Times New Roman" w:cs="Times New Roman" w:eastAsia="Times New Roman" w:hAnsi="Times New Roman"/>
          <w:b w:val="false"/>
          <w:bCs w:val="false"/>
          <w:i w:val="false"/>
          <w:iCs w:val="false"/>
          <w:sz w:val="19"/>
          <w:szCs w:val="19"/>
        </w:rPr>
        <w:t xml:space="preserve">Enterprise adoption of generative AI has outpaced the ability of organisations to operationalise it: recent survey evidence reports 78% adoption but only about 6% enterprise-wide scaling. This paper surveys the techniques required to close that gap and presents EAIOS, a multi-tenant platform integrating hybrid retrieval-augmented generation, a fleet of orchestrated agents, natural-language-to-SQL over extracted tables, a knowledge graph and workflow automation behind a single browser-based interface. We survey ten primary sources across retrieval-augmented generation, dense retrieval, hallucination, agent architectures, semantic parsing, graph-based summarisation and multi-tenant security, and identify a gap: retrieval research assumes a single corpus, while multi-tenancy guidance predates queries composed at runtime by a language model. EAIOS addresses this with isolation enforced at three independent layers, the innermost being PostgreSQL Row-Level Security applied through a low-privilege role. We report an empirical finding supporting this design: a schema-qualified table reference was found to bypass the application-layer SQL guard and return every tenant's records; after correction and the addition of database-level policies, an adversarial query carrying no tenant filter returned only the caller's own rows. The implementation comprises 80 REST endpoints over 21 relational tables and eighteen front-end applications, validated by 354 automated tests and a ten-pass structured audit yielding 24 documented and remediated findings.</w:t>
      </w:r>
    </w:p>
    <w:p>
      <w:pPr>
        <w:spacing w:after="140"/>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b w:val="false"/>
          <w:bCs w:val="false"/>
          <w:i/>
          <w:iCs/>
          <w:sz w:val="19"/>
          <w:szCs w:val="19"/>
        </w:rPr>
        <w:t xml:space="preserve">retrieval-augmented generation, multi-agent systems, multi-tenant architecture, row-level security, large language models, text-to-SQL, enterprise search.</w:t>
      </w:r>
    </w:p>
    <w:p>
      <w:pPr>
        <w:spacing w:after="90" w:before="200"/>
        <w:jc w:val="center"/>
      </w:pPr>
      <w:r>
        <w:rPr>
          <w:rFonts w:ascii="Times New Roman" w:cs="Times New Roman" w:eastAsia="Times New Roman" w:hAnsi="Times New Roman"/>
          <w:b/>
          <w:bCs/>
          <w:i w:val="false"/>
          <w:iCs w:val="false"/>
          <w:sz w:val="20"/>
          <w:szCs w:val="20"/>
        </w:rPr>
        <w:t xml:space="preserve">I.  INTRODUCTION</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Large language models have made it plausible for an organisation to ask questions of its own documents in natural language. In practice this promise is difficult to realise. A general-purpose model has no knowledge of internal material, and when asked about it produces fluent text that cannot be verified. Survey evidence quantifies the resulting gap: 78% of organisations report using AI in at least one function, yet only around one-third have scaled it and roughly 6% report enterprise-wide deployment [9]. The obstacle is not model capability but the surrounding system.</w:t>
      </w:r>
    </w:p>
    <w:p>
      <w:pPr>
        <w:spacing w:after="100" w:line="240"/>
        <w:ind w:firstLine="220"/>
        <w:jc w:val="both"/>
      </w:pPr>
      <w:r>
        <w:rPr>
          <w:rFonts w:ascii="Times New Roman" w:cs="Times New Roman" w:eastAsia="Times New Roman" w:hAnsi="Times New Roman"/>
          <w:b w:val="false"/>
          <w:bCs w:val="false"/>
          <w:i w:val="false"/>
          <w:iCs w:val="false"/>
          <w:sz w:val="19"/>
          <w:szCs w:val="19"/>
        </w:rPr>
        <w:t xml:space="preserve">Three problems recur. First, grounding: an answer that cannot be traced to a source document cannot be acted upon in a professional setting. Second, fragmentation: relevant knowledge is distributed across mailboxes, shared drives, spreadsheets and reports, so no single tool can answer a question spanning them. Third, and specific to any platform serving several client organisations from shared infrastructure, isolation: the guarantee that one client's confidential material can never appear in another client's results.</w:t>
      </w:r>
    </w:p>
    <w:p>
      <w:pPr>
        <w:spacing w:after="100" w:line="240"/>
        <w:ind w:firstLine="220"/>
        <w:jc w:val="both"/>
      </w:pPr>
      <w:r>
        <w:rPr>
          <w:rFonts w:ascii="Times New Roman" w:cs="Times New Roman" w:eastAsia="Times New Roman" w:hAnsi="Times New Roman"/>
          <w:b w:val="false"/>
          <w:bCs w:val="false"/>
          <w:i w:val="false"/>
          <w:iCs w:val="false"/>
          <w:sz w:val="19"/>
          <w:szCs w:val="19"/>
        </w:rPr>
        <w:t xml:space="preserve">This paper surveys the work bearing on these problems and describes EAIOS, a system that integrates the resulting techniques. Our contributions are: (i) a consolidated survey of ten primary sources spanning retrieval, hallucination, agents, semantic parsing and multi-tenant security; (ii) the identification of a specific gap where retrieval research and multi-tenancy practice fail to meet; (iii) a three-layer isolation architecture in which the innermost layer is enforced by the database; and (iv) empirical evidence — a reproduced cross-tenant leak in our own application-layer guard — that the innermost layer is necessary rather than merely prudent.</w:t>
      </w:r>
    </w:p>
    <w:p>
      <w:pPr>
        <w:spacing w:after="90" w:before="200"/>
        <w:jc w:val="center"/>
      </w:pPr>
      <w:r>
        <w:rPr>
          <w:rFonts w:ascii="Times New Roman" w:cs="Times New Roman" w:eastAsia="Times New Roman" w:hAnsi="Times New Roman"/>
          <w:b/>
          <w:bCs/>
          <w:i w:val="false"/>
          <w:iCs w:val="false"/>
          <w:sz w:val="20"/>
          <w:szCs w:val="20"/>
        </w:rPr>
        <w:t xml:space="preserve">II.  LITERATURE SURVEY</w:t>
      </w:r>
    </w:p>
    <w:p>
      <w:pPr>
        <w:spacing w:after="70" w:before="130"/>
      </w:pPr>
      <w:r>
        <w:rPr>
          <w:rFonts w:ascii="Times New Roman" w:cs="Times New Roman" w:eastAsia="Times New Roman" w:hAnsi="Times New Roman"/>
          <w:b/>
          <w:bCs/>
          <w:i/>
          <w:iCs/>
          <w:sz w:val="19"/>
          <w:szCs w:val="19"/>
        </w:rPr>
        <w:t xml:space="preserve">A.  Retrieval-Augmented Generation</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Lewis et al. [1] introduced RAG, combining a parametric generator with a non-parametric corpus retrieved at inference time, allowing knowledge to be updated without retraining and answers to be attributed to documents. Gao et al. [2] survey subsequent work and classify systems as Naive, Advanced or Modular RAG, treating retrieval, generation and augmentation as separable stages. Neither addresses corpora partitioned across mutually distrustful tenants.</w:t>
      </w:r>
    </w:p>
    <w:p>
      <w:pPr>
        <w:spacing w:after="70" w:before="130"/>
      </w:pPr>
      <w:r>
        <w:rPr>
          <w:rFonts w:ascii="Times New Roman" w:cs="Times New Roman" w:eastAsia="Times New Roman" w:hAnsi="Times New Roman"/>
          <w:b/>
          <w:bCs/>
          <w:i/>
          <w:iCs/>
          <w:sz w:val="19"/>
          <w:szCs w:val="19"/>
        </w:rPr>
        <w:t xml:space="preserve">B.  Retrieval Strategy</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Karpukhin et al. [3] show a dense dual-encoder retriever exceeding BM25 by 9–19% absolute in top-20 accuracy. The result does not imply lexical retrieval is obsolete for enterprise corpora: exact identifiers such as invoice numbers and clause references are matched reliably by lexical methods and unreliably by embeddings, because such tokens are not semantically similar to anything. The two methods fail complementarily, motivating hybrid retrieval.</w:t>
      </w:r>
    </w:p>
    <w:p>
      <w:pPr>
        <w:spacing w:after="70" w:before="130"/>
      </w:pPr>
      <w:r>
        <w:rPr>
          <w:rFonts w:ascii="Times New Roman" w:cs="Times New Roman" w:eastAsia="Times New Roman" w:hAnsi="Times New Roman"/>
          <w:b/>
          <w:bCs/>
          <w:i/>
          <w:iCs/>
          <w:sz w:val="19"/>
          <w:szCs w:val="19"/>
        </w:rPr>
        <w:t xml:space="preserve">C.  Hallucination and Trust</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Ji et al. [4] distinguish intrinsic hallucination, contradicting the source, from extrinsic hallucination, unverifiable against it. The extrinsic case dominates enterprise risk because a confident, unverifiable answer is indistinguishable from a correct one. This motivates mandatory citation, explicit confidence scoring, and an honest empty-state response when retrieval yields nothing.</w:t>
      </w:r>
    </w:p>
    <w:p>
      <w:pPr>
        <w:spacing w:after="70" w:before="130"/>
      </w:pPr>
      <w:r>
        <w:rPr>
          <w:rFonts w:ascii="Times New Roman" w:cs="Times New Roman" w:eastAsia="Times New Roman" w:hAnsi="Times New Roman"/>
          <w:b/>
          <w:bCs/>
          <w:i/>
          <w:iCs/>
          <w:sz w:val="19"/>
          <w:szCs w:val="19"/>
        </w:rPr>
        <w:t xml:space="preserve">D.  Agent Architectures</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Yao et al. [5] propose ReAct, interleaving reasoning traces with actions so that each informs the other, reporting improved interpretability and trustworthiness. Extending this to multiple specialised agents introduces a routing problem the original work does not treat, and amplifies the 'excessive agency' risk catalogued by OWASP [8].</w:t>
      </w:r>
    </w:p>
    <w:p>
      <w:pPr>
        <w:spacing w:after="70" w:before="130"/>
      </w:pPr>
      <w:r>
        <w:rPr>
          <w:rFonts w:ascii="Times New Roman" w:cs="Times New Roman" w:eastAsia="Times New Roman" w:hAnsi="Times New Roman"/>
          <w:b/>
          <w:bCs/>
          <w:i/>
          <w:iCs/>
          <w:sz w:val="19"/>
          <w:szCs w:val="19"/>
        </w:rPr>
        <w:t xml:space="preserve">E.  Structured Data</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Yu et al. [6] introduced Spider — 10,181 questions over 5,693 queries across 200 databases in 138 domains, with disjoint train and test databases — on which the best contemporaneous system achieved 9.7% exact-match accuracy. Two implications follow: quantitative questions require execution rather than similarity search, and generated SQL, being unreliable, must be treated as untrusted input to the database.</w:t>
      </w:r>
    </w:p>
    <w:p>
      <w:pPr>
        <w:spacing w:after="70" w:before="130"/>
      </w:pPr>
      <w:r>
        <w:rPr>
          <w:rFonts w:ascii="Times New Roman" w:cs="Times New Roman" w:eastAsia="Times New Roman" w:hAnsi="Times New Roman"/>
          <w:b/>
          <w:bCs/>
          <w:i/>
          <w:iCs/>
          <w:sz w:val="19"/>
          <w:szCs w:val="19"/>
        </w:rPr>
        <w:t xml:space="preserve">F.  Graph-Based Retrieval</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Edge et al. [7] observe that conventional RAG fails on corpus-level questions, which are query-focused summarisation rather than retrieval, and propose constructing an entity graph to answer at that level.</w:t>
      </w:r>
    </w:p>
    <w:p>
      <w:pPr>
        <w:spacing w:after="70" w:before="130"/>
      </w:pPr>
      <w:r>
        <w:rPr>
          <w:rFonts w:ascii="Times New Roman" w:cs="Times New Roman" w:eastAsia="Times New Roman" w:hAnsi="Times New Roman"/>
          <w:b/>
          <w:bCs/>
          <w:i/>
          <w:iCs/>
          <w:sz w:val="19"/>
          <w:szCs w:val="19"/>
        </w:rPr>
        <w:t xml:space="preserve">G.  Security and Multi-Tenancy</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The OWASP LLM Top 10 [8] ranks prompt injection first for a second consecutive edition and adds excessive agency as a category. Multi-tenancy guidance [10] identifies shared-schema tenancy as cheapest but weakest, since enforcement rests on application logic, and recommends Row-Level Security as a secondary database-level defence.</w:t>
      </w:r>
    </w:p>
    <w:p>
      <w:pPr>
        <w:spacing w:after="90" w:before="200"/>
        <w:jc w:val="center"/>
      </w:pPr>
      <w:r>
        <w:rPr>
          <w:rFonts w:ascii="Times New Roman" w:cs="Times New Roman" w:eastAsia="Times New Roman" w:hAnsi="Times New Roman"/>
          <w:b/>
          <w:bCs/>
          <w:i w:val="false"/>
          <w:iCs w:val="false"/>
          <w:sz w:val="20"/>
          <w:szCs w:val="20"/>
        </w:rPr>
        <w:t xml:space="preserve">III.  RESEARCH GAP</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The surveyed work solves each problem in isolation but does not combine them. We identify four gaps: multi-tenant RAG is largely unstudied, retrieval research assuming a single corpus; text-to-SQL research optimises accuracy rather than execution safety against a shared live database; multi-tenancy guidance assumes queries written by programmers, not composed at runtime by a model; and no integrated open system was found that unifies these capabilities under enforced tenancy. Additionally, comparable systems assert tenant separation without published adversarial validation.</w:t>
      </w:r>
    </w:p>
    <w:p>
      <w:pPr>
        <w:spacing w:after="90" w:before="200"/>
        <w:jc w:val="center"/>
      </w:pPr>
      <w:r>
        <w:rPr>
          <w:rFonts w:ascii="Times New Roman" w:cs="Times New Roman" w:eastAsia="Times New Roman" w:hAnsi="Times New Roman"/>
          <w:b/>
          <w:bCs/>
          <w:i w:val="false"/>
          <w:iCs w:val="false"/>
          <w:sz w:val="20"/>
          <w:szCs w:val="20"/>
        </w:rPr>
        <w:t xml:space="preserve">IV.  SYSTEM ARCHITECTURE</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EAIOS is organised in five layers. The presentation layer is a React and TypeScript single-page application (~9,400 lines) presenting eighteen applications in a desktop metaphor. The API layer exposes 80 REST endpoints via FastAPI with JWT authentication and four roles. The intelligence layer comprises the orchestrator and thirteen agents. The retrieval layer performs ingestion, chunking, hybrid search and entity extraction. The data layer is PostgreSQL with 21 tables (~12,600 backend lines).</w:t>
      </w:r>
    </w:p>
    <w:p>
      <w:pPr>
        <w:spacing w:after="70" w:before="130"/>
      </w:pPr>
      <w:r>
        <w:rPr>
          <w:rFonts w:ascii="Times New Roman" w:cs="Times New Roman" w:eastAsia="Times New Roman" w:hAnsi="Times New Roman"/>
          <w:b/>
          <w:bCs/>
          <w:i/>
          <w:iCs/>
          <w:sz w:val="19"/>
          <w:szCs w:val="19"/>
        </w:rPr>
        <w:t xml:space="preserve">A.  Ingestion and Retrieval</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Uploaded documents (PDF, DOCX, PPTX, XLSX, CSV, image, text) are parsed, chunked with overlap, embedded and indexed. Tabular regions are materialised as real SQL tables so structured questions bypass text chunking. Retrieval combines lexical and dense scoring; results carry document, section and score, which the generation stage renders as citations.</w:t>
      </w:r>
    </w:p>
    <w:p>
      <w:pPr>
        <w:spacing w:after="70" w:before="130"/>
      </w:pPr>
      <w:r>
        <w:rPr>
          <w:rFonts w:ascii="Times New Roman" w:cs="Times New Roman" w:eastAsia="Times New Roman" w:hAnsi="Times New Roman"/>
          <w:b/>
          <w:bCs/>
          <w:i/>
          <w:iCs/>
          <w:sz w:val="19"/>
          <w:szCs w:val="19"/>
        </w:rPr>
        <w:t xml:space="preserve">B.  Three-Layer Tenant Isolation</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Layer 1 is an ORM interceptor applying a workspace predicate to every query and stamping every insert. Layer 2 is a fail-closed guard rewriting model-generated SQL so each tenant table becomes a workspace-scoped subquery, rejecting any construct it cannot prove safe. Layer 3 executes the query as a dedicated NOLOGIN PostgreSQL role subject to Row-Level Security policies keyed to a per-request workspace setting, so rows outside the caller's workspace are invisible to the executing role irrespective of the query text.</w:t>
      </w:r>
    </w:p>
    <w:p>
      <w:pPr>
        <w:spacing w:after="90" w:before="200"/>
        <w:jc w:val="center"/>
      </w:pPr>
      <w:r>
        <w:rPr>
          <w:rFonts w:ascii="Times New Roman" w:cs="Times New Roman" w:eastAsia="Times New Roman" w:hAnsi="Times New Roman"/>
          <w:b/>
          <w:bCs/>
          <w:i w:val="false"/>
          <w:iCs w:val="false"/>
          <w:sz w:val="20"/>
          <w:szCs w:val="20"/>
        </w:rPr>
        <w:t xml:space="preserve">V.  EVALUATION AND RESULTS</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The system was evaluated by a ten-pass structured audit against a live deployment and a faithful PostgreSQL replica, covering functionality, API contracts, database integrity, data fidelity, security, performance, resilience and accessibility. Twenty-four findings were documented and remediated.</w:t>
      </w:r>
    </w:p>
    <w:p>
      <w:pPr>
        <w:spacing w:after="70" w:before="130"/>
      </w:pPr>
      <w:r>
        <w:rPr>
          <w:rFonts w:ascii="Times New Roman" w:cs="Times New Roman" w:eastAsia="Times New Roman" w:hAnsi="Times New Roman"/>
          <w:b/>
          <w:bCs/>
          <w:i/>
          <w:iCs/>
          <w:sz w:val="19"/>
          <w:szCs w:val="19"/>
        </w:rPr>
        <w:t xml:space="preserve">A.  Isolation Under Adversarial Query</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Layer 2 was found insufficient. A schema-qualified reference (public.tasks) evaded the guard's table-matching and executed unscoped, returning records of every tenant, including user identities. The defect was reproduced with two live tenants, corrected to fail closed, and covered by regression tests. Layer 3 was then introduced. Under it, an adversarial query carrying no tenant predicate whatsoever returned only the caller's own rows, and the tenant registry table was entirely unreadable to the executing role.</w:t>
      </w:r>
    </w:p>
    <w:p>
      <w:pPr>
        <w:spacing w:after="70" w:before="130"/>
      </w:pPr>
      <w:r>
        <w:rPr>
          <w:rFonts w:ascii="Times New Roman" w:cs="Times New Roman" w:eastAsia="Times New Roman" w:hAnsi="Times New Roman"/>
          <w:b/>
          <w:bCs/>
          <w:i/>
          <w:iCs/>
          <w:sz w:val="19"/>
          <w:szCs w:val="19"/>
        </w:rPr>
        <w:t xml:space="preserve">B.  Measured Outcomes</w:t>
      </w:r>
    </w:p>
    <w:p>
      <w:pPr>
        <w:spacing w:after="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2600"/>
      </w:tblGrid>
      <w:tr>
        <w:trPr>
          <w:tblHeader/>
        </w:trPr>
        <w:tc>
          <w:tcPr>
            <w:tcW w:type="dxa" w:w="34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Aspect</w:t>
            </w:r>
          </w:p>
        </w:tc>
        <w:tc>
          <w:tcPr>
            <w:tcW w:type="dxa" w:w="26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Before</w:t>
            </w:r>
          </w:p>
        </w:tc>
        <w:tc>
          <w:tcPr>
            <w:tcW w:type="dxa" w:w="26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After</w:t>
            </w:r>
          </w:p>
        </w:tc>
      </w:tr>
      <w:tr>
        <w:tc>
          <w:tcPr>
            <w:tcW w:type="dxa" w:w="3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Cross-tenant read (adversarial SQL)</w:t>
            </w:r>
          </w:p>
        </w:tc>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All tenants' rows returned</w:t>
            </w:r>
          </w:p>
        </w:tc>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Caller's rows only</w:t>
            </w:r>
          </w:p>
        </w:tc>
      </w:tr>
      <w:tr>
        <w:tc>
          <w:tcPr>
            <w:tcW w:type="dxa" w:w="3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Task board database round trips (200 rows)</w:t>
            </w:r>
          </w:p>
        </w:tc>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202</w:t>
            </w:r>
          </w:p>
        </w:tc>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2</w:t>
            </w:r>
          </w:p>
        </w:tc>
      </w:tr>
      <w:tr>
        <w:tc>
          <w:tcPr>
            <w:tcW w:type="dxa" w:w="3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Initial JavaScript payload</w:t>
            </w:r>
          </w:p>
        </w:tc>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861 KB</w:t>
            </w:r>
          </w:p>
        </w:tc>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302 KB</w:t>
            </w:r>
          </w:p>
        </w:tc>
      </w:tr>
      <w:tr>
        <w:tc>
          <w:tcPr>
            <w:tcW w:type="dxa" w:w="3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API-level IDOR probes (23 across 2 tenants)</w:t>
            </w:r>
          </w:p>
        </w:tc>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w:t>
            </w:r>
          </w:p>
        </w:tc>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0 leaks</w:t>
            </w:r>
          </w:p>
        </w:tc>
      </w:tr>
      <w:tr>
        <w:tc>
          <w:tcPr>
            <w:tcW w:type="dxa" w:w="3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Automated tests</w:t>
            </w:r>
          </w:p>
        </w:tc>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322</w:t>
            </w:r>
          </w:p>
        </w:tc>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354 passing</w:t>
            </w:r>
          </w:p>
        </w:tc>
      </w:tr>
      <w:tr>
        <w:tc>
          <w:tcPr>
            <w:tcW w:type="dxa" w:w="3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Audit findings outstanding</w:t>
            </w:r>
          </w:p>
        </w:tc>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24</w:t>
            </w:r>
          </w:p>
        </w:tc>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0</w:t>
            </w:r>
          </w:p>
        </w:tc>
      </w:tr>
    </w:tbl>
    <w:p>
      <w:pPr>
        <w:spacing w:after="200" w:before="80"/>
        <w:jc w:val="center"/>
      </w:pPr>
      <w:r>
        <w:rPr>
          <w:rFonts w:ascii="Times New Roman" w:cs="Times New Roman" w:eastAsia="Times New Roman" w:hAnsi="Times New Roman"/>
          <w:i/>
          <w:iCs/>
          <w:sz w:val="19"/>
          <w:szCs w:val="19"/>
        </w:rPr>
        <w:t xml:space="preserve">TABLE I.  Measured outcomes before and after remediation</w:t>
      </w:r>
    </w:p>
    <w:p>
      <w:pPr>
        <w:spacing w:after="70" w:before="130"/>
      </w:pPr>
      <w:r>
        <w:rPr>
          <w:rFonts w:ascii="Times New Roman" w:cs="Times New Roman" w:eastAsia="Times New Roman" w:hAnsi="Times New Roman"/>
          <w:b/>
          <w:bCs/>
          <w:i/>
          <w:iCs/>
          <w:sz w:val="19"/>
          <w:szCs w:val="19"/>
        </w:rPr>
        <w:t xml:space="preserve">C.  Resilience</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With the language-model provider forced to fail on every call, no request failed: the system returned cited source excerpts and declared the degradation. On an empty workspace it stated that no relevant material existed rather than generating an answer. Unicode round-tripping (Marathi, Chinese, right-to-left script, emoji, astral-plane characters) was byte-identical across API and database, and over-length input was rejected rather than silently truncated.</w:t>
      </w:r>
    </w:p>
    <w:p>
      <w:pPr>
        <w:spacing w:after="90" w:before="200"/>
        <w:jc w:val="center"/>
      </w:pPr>
      <w:r>
        <w:rPr>
          <w:rFonts w:ascii="Times New Roman" w:cs="Times New Roman" w:eastAsia="Times New Roman" w:hAnsi="Times New Roman"/>
          <w:b/>
          <w:bCs/>
          <w:i w:val="false"/>
          <w:iCs w:val="false"/>
          <w:sz w:val="20"/>
          <w:szCs w:val="20"/>
        </w:rPr>
        <w:t xml:space="preserve">VI.  LIMITATIONS AND FUTURE WORK</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The entity graph implements co-occurrence extraction rather than the full community-summarisation pipeline of [7]. Retrieval quality has not been evaluated against a standard benchmark; a labelled internal corpus would be required. The user survey reported alongside this work is limited in scale and drawn by purposive sampling, so it indicates rather than establishes user preference. Future work includes benchmark evaluation of retrieval, per-row isolation for dynamically extracted tables, and formal verification of the guard.</w:t>
      </w:r>
    </w:p>
    <w:p>
      <w:pPr>
        <w:spacing w:after="90" w:before="200"/>
        <w:jc w:val="center"/>
      </w:pPr>
      <w:r>
        <w:rPr>
          <w:rFonts w:ascii="Times New Roman" w:cs="Times New Roman" w:eastAsia="Times New Roman" w:hAnsi="Times New Roman"/>
          <w:b/>
          <w:bCs/>
          <w:i w:val="false"/>
          <w:iCs w:val="false"/>
          <w:sz w:val="20"/>
          <w:szCs w:val="20"/>
        </w:rPr>
        <w:t xml:space="preserve">VII.  CONCLUSION</w:t>
      </w:r>
    </w:p>
    <w:p>
      <w:pPr>
        <w:spacing w:after="100" w:line="240"/>
        <w:ind w:firstLine="0"/>
        <w:jc w:val="both"/>
      </w:pPr>
      <w:r>
        <w:rPr>
          <w:rFonts w:ascii="Times New Roman" w:cs="Times New Roman" w:eastAsia="Times New Roman" w:hAnsi="Times New Roman"/>
          <w:b w:val="false"/>
          <w:bCs w:val="false"/>
          <w:i w:val="false"/>
          <w:iCs w:val="false"/>
          <w:sz w:val="19"/>
          <w:szCs w:val="19"/>
        </w:rPr>
        <w:t xml:space="preserve">This paper surveyed the techniques required to build a grounded, governed enterprise AI platform and presented EAIOS as an integration of them. The principal finding is empirical rather than architectural: an application-layer isolation guard, of the kind widely relied upon in shared-schema multi-tenant systems, was shown to fail on a lexical variation its author had not anticipated, exposing every tenant's data. That such a failure is possible is the strongest available argument that a multi-tenant AI platform must enforce isolation in the database, where correctness does not depend on anticipating every form a generated query may take.</w:t>
      </w:r>
    </w:p>
    <w:p>
      <w:pPr>
        <w:spacing w:after="90" w:before="200"/>
        <w:jc w:val="center"/>
      </w:pPr>
      <w:r>
        <w:rPr>
          <w:rFonts w:ascii="Times New Roman" w:cs="Times New Roman" w:eastAsia="Times New Roman" w:hAnsi="Times New Roman"/>
          <w:b/>
          <w:bCs/>
          <w:i w:val="false"/>
          <w:iCs w:val="false"/>
          <w:sz w:val="20"/>
          <w:szCs w:val="20"/>
        </w:rPr>
        <w:t xml:space="preserve">REFERENCES</w:t>
      </w:r>
    </w:p>
    <w:p>
      <w:pPr>
        <w:spacing w:after="45" w:line="220"/>
        <w:ind w:left="300" w:hanging="300"/>
      </w:pPr>
      <w:r>
        <w:rPr>
          <w:rFonts w:ascii="Times New Roman" w:cs="Times New Roman" w:eastAsia="Times New Roman" w:hAnsi="Times New Roman"/>
          <w:b w:val="false"/>
          <w:bCs w:val="false"/>
          <w:i w:val="false"/>
          <w:iCs w:val="false"/>
          <w:sz w:val="17"/>
          <w:szCs w:val="17"/>
        </w:rPr>
        <w:t xml:space="preserve">[1] P. Lewis et al., "Retrieval-Augmented Generation for Knowledge-Intensive NLP Tasks," in Adv. Neural Inf. Process. Syst. (NeurIPS), vol. 33, pp. 9459–9474, 2020.</w:t>
      </w:r>
    </w:p>
    <w:p>
      <w:pPr>
        <w:spacing w:after="45" w:line="220"/>
        <w:ind w:left="300" w:hanging="300"/>
      </w:pPr>
      <w:r>
        <w:rPr>
          <w:rFonts w:ascii="Times New Roman" w:cs="Times New Roman" w:eastAsia="Times New Roman" w:hAnsi="Times New Roman"/>
          <w:b w:val="false"/>
          <w:bCs w:val="false"/>
          <w:i w:val="false"/>
          <w:iCs w:val="false"/>
          <w:sz w:val="17"/>
          <w:szCs w:val="17"/>
        </w:rPr>
        <w:t xml:space="preserve">[2] Y. Gao et al., "Retrieval-Augmented Generation for Large Language Models: A Survey," arXiv:2312.10997, 2023.</w:t>
      </w:r>
    </w:p>
    <w:p>
      <w:pPr>
        <w:spacing w:after="45" w:line="220"/>
        <w:ind w:left="300" w:hanging="300"/>
      </w:pPr>
      <w:r>
        <w:rPr>
          <w:rFonts w:ascii="Times New Roman" w:cs="Times New Roman" w:eastAsia="Times New Roman" w:hAnsi="Times New Roman"/>
          <w:b w:val="false"/>
          <w:bCs w:val="false"/>
          <w:i w:val="false"/>
          <w:iCs w:val="false"/>
          <w:sz w:val="17"/>
          <w:szCs w:val="17"/>
        </w:rPr>
        <w:t xml:space="preserve">[3] V. Karpukhin et al., "Dense Passage Retrieval for Open-Domain Question Answering," in Proc. EMNLP, pp. 6769–6781, 2020.</w:t>
      </w:r>
    </w:p>
    <w:p>
      <w:pPr>
        <w:spacing w:after="45" w:line="220"/>
        <w:ind w:left="300" w:hanging="300"/>
      </w:pPr>
      <w:r>
        <w:rPr>
          <w:rFonts w:ascii="Times New Roman" w:cs="Times New Roman" w:eastAsia="Times New Roman" w:hAnsi="Times New Roman"/>
          <w:b w:val="false"/>
          <w:bCs w:val="false"/>
          <w:i w:val="false"/>
          <w:iCs w:val="false"/>
          <w:sz w:val="17"/>
          <w:szCs w:val="17"/>
        </w:rPr>
        <w:t xml:space="preserve">[4] Z. Ji et al., "Survey of Hallucination in Natural Language Generation," ACM Comput. Surv., vol. 55, no. 12, art. 248, 2023.</w:t>
      </w:r>
    </w:p>
    <w:p>
      <w:pPr>
        <w:spacing w:after="45" w:line="220"/>
        <w:ind w:left="300" w:hanging="300"/>
      </w:pPr>
      <w:r>
        <w:rPr>
          <w:rFonts w:ascii="Times New Roman" w:cs="Times New Roman" w:eastAsia="Times New Roman" w:hAnsi="Times New Roman"/>
          <w:b w:val="false"/>
          <w:bCs w:val="false"/>
          <w:i w:val="false"/>
          <w:iCs w:val="false"/>
          <w:sz w:val="17"/>
          <w:szCs w:val="17"/>
        </w:rPr>
        <w:t xml:space="preserve">[5] S. Yao et al., "ReAct: Synergizing Reasoning and Acting in Language Models," in Proc. ICLR, 2023.</w:t>
      </w:r>
    </w:p>
    <w:p>
      <w:pPr>
        <w:spacing w:after="45" w:line="220"/>
        <w:ind w:left="300" w:hanging="300"/>
      </w:pPr>
      <w:r>
        <w:rPr>
          <w:rFonts w:ascii="Times New Roman" w:cs="Times New Roman" w:eastAsia="Times New Roman" w:hAnsi="Times New Roman"/>
          <w:b w:val="false"/>
          <w:bCs w:val="false"/>
          <w:i w:val="false"/>
          <w:iCs w:val="false"/>
          <w:sz w:val="17"/>
          <w:szCs w:val="17"/>
        </w:rPr>
        <w:t xml:space="preserve">[6] T. Yu et al., "Spider: A Large-Scale Human-Labeled Dataset for Complex and Cross-Domain Semantic Parsing and Text-to-SQL Task," in Proc. EMNLP, pp. 3911–3921, 2018.</w:t>
      </w:r>
    </w:p>
    <w:p>
      <w:pPr>
        <w:spacing w:after="45" w:line="220"/>
        <w:ind w:left="300" w:hanging="300"/>
      </w:pPr>
      <w:r>
        <w:rPr>
          <w:rFonts w:ascii="Times New Roman" w:cs="Times New Roman" w:eastAsia="Times New Roman" w:hAnsi="Times New Roman"/>
          <w:b w:val="false"/>
          <w:bCs w:val="false"/>
          <w:i w:val="false"/>
          <w:iCs w:val="false"/>
          <w:sz w:val="17"/>
          <w:szCs w:val="17"/>
        </w:rPr>
        <w:t xml:space="preserve">[7] D. Edge et al., "From Local to Global: A Graph RAG Approach to Query-Focused Summarization," arXiv:2404.16130, Microsoft Research, 2024.</w:t>
      </w:r>
    </w:p>
    <w:p>
      <w:pPr>
        <w:spacing w:after="45" w:line="220"/>
        <w:ind w:left="300" w:hanging="300"/>
      </w:pPr>
      <w:r>
        <w:rPr>
          <w:rFonts w:ascii="Times New Roman" w:cs="Times New Roman" w:eastAsia="Times New Roman" w:hAnsi="Times New Roman"/>
          <w:b w:val="false"/>
          <w:bCs w:val="false"/>
          <w:i w:val="false"/>
          <w:iCs w:val="false"/>
          <w:sz w:val="17"/>
          <w:szCs w:val="17"/>
        </w:rPr>
        <w:t xml:space="preserve">[8] OWASP Foundation, "OWASP Top 10 for Large Language Model Applications," 2025 ed.</w:t>
      </w:r>
    </w:p>
    <w:p>
      <w:pPr>
        <w:spacing w:after="45" w:line="220"/>
        <w:ind w:left="300" w:hanging="300"/>
      </w:pPr>
      <w:r>
        <w:rPr>
          <w:rFonts w:ascii="Times New Roman" w:cs="Times New Roman" w:eastAsia="Times New Roman" w:hAnsi="Times New Roman"/>
          <w:b w:val="false"/>
          <w:bCs w:val="false"/>
          <w:i w:val="false"/>
          <w:iCs w:val="false"/>
          <w:sz w:val="17"/>
          <w:szCs w:val="17"/>
        </w:rPr>
        <w:t xml:space="preserve">[9] McKinsey &amp; Company, "The State of AI: Global Survey," QuantumBlack, 2025.</w:t>
      </w:r>
    </w:p>
    <w:p>
      <w:pPr>
        <w:spacing w:after="45" w:line="220"/>
        <w:ind w:left="300" w:hanging="300"/>
      </w:pPr>
      <w:r>
        <w:rPr>
          <w:rFonts w:ascii="Times New Roman" w:cs="Times New Roman" w:eastAsia="Times New Roman" w:hAnsi="Times New Roman"/>
          <w:b w:val="false"/>
          <w:bCs w:val="false"/>
          <w:i w:val="false"/>
          <w:iCs w:val="false"/>
          <w:sz w:val="17"/>
          <w:szCs w:val="17"/>
        </w:rPr>
        <w:t xml:space="preserve">[10] Amazon Web Services, "Multi-tenant data isolation with PostgreSQL Row Level Security," AWS Database Blog, 2026.</w:t>
      </w:r>
    </w:p>
    <w:sectPr>
      <w:type w:val="continuous"/>
      <w:pgSz w:w="11906" w:h="16838" w:orient="portrait"/>
      <w:pgMar w:top="1000" w:right="1000" w:bottom="1000" w:left="1000" w:header="708" w:footer="708" w:gutter="0"/>
      <w:pgNumType/>
      <w:cols w:space="4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2026-08-01T03:02:42.798Z</dcterms:created>
  <dcterms:modified xsi:type="dcterms:W3CDTF">2026-08-01T03:02:42.798Z</dcterms:modified>
</cp:coreProperties>
</file>

<file path=docProps/custom.xml><?xml version="1.0" encoding="utf-8"?>
<Properties xmlns="http://schemas.openxmlformats.org/officeDocument/2006/custom-properties" xmlns:vt="http://schemas.openxmlformats.org/officeDocument/2006/docPropsVTypes"/>
</file>