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A2332" w:val="clear"/>
            <w:tcMar>
              <w:top w:type="dxa" w:w="360"/>
              <w:left w:type="dxa" w:w="480"/>
              <w:bottom w:type="dxa" w:w="360"/>
              <w:right w:type="dxa" w:w="480"/>
            </w:tcMar>
          </w:tcPr>
          <w:p>
            <w:pPr>
              <w:jc w:val="center"/>
            </w:pPr>
            <w:r>
              <w:rPr>
                <w:rFonts w:ascii="Arial" w:cs="Arial" w:eastAsia="Arial" w:hAnsi="Arial"/>
                <w:b/>
                <w:bCs/>
                <w:color w:val="B71C1C"/>
                <w:sz w:val="72"/>
                <w:szCs w:val="72"/>
              </w:rPr>
              <w:t xml:space="preserve">AOR</w:t>
            </w:r>
            <w:r>
              <w:rPr>
                <w:rFonts w:ascii="Arial" w:cs="Arial" w:eastAsia="Arial" w:hAnsi="Arial"/>
                <w:b/>
                <w:bCs/>
                <w:color w:val="FFFFFF"/>
                <w:sz w:val="72"/>
                <w:szCs w:val="72"/>
              </w:rPr>
              <w:t xml:space="preserve">Track</w:t>
            </w:r>
          </w:p>
          <w:p>
            <w:pPr>
              <w:spacing w:after="0" w:before="80"/>
              <w:jc w:val="center"/>
            </w:pPr>
            <w:r>
              <w:rPr>
                <w:rFonts w:ascii="Arial" w:cs="Arial" w:eastAsia="Arial" w:hAnsi="Arial"/>
                <w:color w:val="CCCCCC"/>
                <w:sz w:val="28"/>
                <w:szCs w:val="28"/>
              </w:rPr>
              <w:t xml:space="preserve">Algorithm &amp; Calculation Documentation</w:t>
            </w:r>
          </w:p>
          <w:p>
            <w:pPr>
              <w:spacing w:after="0" w:before="80"/>
              <w:jc w:val="center"/>
            </w:pPr>
            <w:r>
              <w:rPr>
                <w:rFonts w:ascii="Arial" w:cs="Arial" w:eastAsia="Arial" w:hAnsi="Arial"/>
                <w:i/>
                <w:iCs/>
                <w:color w:val="AAAAAA"/>
                <w:sz w:val="20"/>
                <w:szCs w:val="20"/>
              </w:rPr>
              <w:t xml:space="preserve">v2.0  —  Recency-Weighted Algorithm with Survival Bias Correction</w:t>
            </w:r>
          </w:p>
          <w:p>
            <w:pPr>
              <w:spacing w:after="0" w:before="120"/>
              <w:jc w:val="center"/>
            </w:pPr>
            <w:r>
              <w:rPr>
                <w:rFonts w:ascii="Arial" w:cs="Arial" w:eastAsia="Arial" w:hAnsi="Arial"/>
                <w:i/>
                <w:iCs/>
                <w:color w:val="888888"/>
                <w:sz w:val="18"/>
                <w:szCs w:val="18"/>
              </w:rPr>
              <w:t xml:space="preserve">Unified CEC Stream  |  Weekly Sync  |  Primary Key  |  Queue &amp; PPR Estimates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Data Source</w:t>
            </w:r>
          </w:p>
        </w:tc>
        <w:tc>
          <w:tcPr>
            <w:tcW w:type="dxa" w:w="234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Records</w:t>
            </w:r>
          </w:p>
        </w:tc>
        <w:tc>
          <w:tcPr>
            <w:tcW w:type="dxa" w:w="234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AOR Date Range</w:t>
            </w:r>
          </w:p>
        </w:tc>
        <w:tc>
          <w:tcPr>
            <w:tcW w:type="dxa" w:w="234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Sync Frequency</w:t>
            </w:r>
          </w:p>
        </w:tc>
      </w:tr>
      <w:tr>
        <w:tc>
          <w:tcPr>
            <w:tcW w:type="dxa" w:w="234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color w:val="333333"/>
                <w:sz w:val="20"/>
                <w:szCs w:val="20"/>
              </w:rPr>
              <w:t xml:space="preserve">myimmitracker.com / CEC Tracker</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600 applicants</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Aug 2024 – May 2026</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Weekly</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3CD" w:val="clear"/>
            <w:tcMar>
              <w:top w:type="dxa" w:w="160"/>
              <w:left w:type="dxa" w:w="240"/>
              <w:bottom w:type="dxa" w:w="160"/>
              <w:right w:type="dxa" w:w="240"/>
            </w:tcMar>
          </w:tcPr>
          <w:p>
            <w:r>
              <w:rPr>
                <w:rFonts w:ascii="Arial" w:cs="Arial" w:eastAsia="Arial" w:hAnsi="Arial"/>
                <w:b/>
                <w:bCs/>
                <w:color w:val="1A2332"/>
                <w:sz w:val="22"/>
                <w:szCs w:val="22"/>
              </w:rPr>
              <w:t xml:space="preserve">v2.0 — Algorithm update (May 2026)</w:t>
            </w:r>
          </w:p>
          <w:p>
            <w:pPr>
              <w:spacing w:after="0" w:before="40"/>
            </w:pPr>
            <w:r>
              <w:rPr>
                <w:rFonts w:ascii="Arial" w:cs="Arial" w:eastAsia="Arial" w:hAnsi="Arial"/>
                <w:color w:val="444444"/>
                <w:sz w:val="21"/>
                <w:szCs w:val="21"/>
              </w:rPr>
              <w:t xml:space="preserve">Previous algorithm used all historical data (Aug 2024 onwards), producing a median of ~123 days. This was incorrect because it suffered from survivor bias — only fast completions were included while slow-lane applicants still waiting were excluded. The current IRCC trend is approximately 7 months (~210 days). v2.0 introduces recency-weighting and survival bias correction to reflect this accurately.</w:t>
            </w:r>
          </w:p>
        </w:tc>
      </w:tr>
    </w:tbl>
    <w:p>
      <w:pPr>
        <w:spacing w:after="80" w:before="80"/>
      </w:pPr>
    </w:p>
    <w:p>
      <w:pPr>
        <w:pBdr>
          <w:bottom w:val="single" w:color="DDDDDD" w:sz="4" w:space="1"/>
        </w:pBdr>
        <w:spacing w:after="160" w:before="160"/>
      </w:pPr>
    </w:p>
    <w:p>
      <w:pPr>
        <w:pStyle w:val="Heading1"/>
        <w:spacing w:after="160" w:before="360"/>
      </w:pPr>
      <w:r>
        <w:rPr>
          <w:rFonts w:ascii="Arial" w:cs="Arial" w:eastAsia="Arial" w:hAnsi="Arial"/>
          <w:b/>
          <w:bCs/>
          <w:color w:val="1A2332"/>
          <w:sz w:val="36"/>
          <w:szCs w:val="36"/>
        </w:rPr>
        <w:t xml:space="preserve">1. Why the Old Algorithm Was Wrong</w:t>
      </w:r>
    </w:p>
    <w:p>
      <w:pPr>
        <w:spacing w:after="80" w:before="80"/>
      </w:pPr>
      <w:r>
        <w:rPr>
          <w:rFonts w:ascii="Arial" w:cs="Arial" w:eastAsia="Arial" w:hAnsi="Arial"/>
          <w:b w:val="false"/>
          <w:bCs w:val="false"/>
          <w:i w:val="false"/>
          <w:iCs w:val="false"/>
          <w:color w:val="333333"/>
          <w:sz w:val="22"/>
          <w:szCs w:val="22"/>
        </w:rPr>
        <w:t xml:space="preserve">The original algorithm computed a simple median across all completed eCOPR cases in the dataset. This produced a median of ~123 days — significantly lower than the real current processing time. Two structural problems caused this:</w:t>
      </w:r>
    </w:p>
    <w:p>
      <w:pPr>
        <w:spacing w:after="80" w:before="80"/>
      </w:pPr>
    </w:p>
    <w:p>
      <w:pPr>
        <w:pStyle w:val="Heading2"/>
        <w:spacing w:after="120" w:before="280"/>
      </w:pPr>
      <w:r>
        <w:rPr>
          <w:rFonts w:ascii="Arial" w:cs="Arial" w:eastAsia="Arial" w:hAnsi="Arial"/>
          <w:b/>
          <w:bCs/>
          <w:color w:val="1A2332"/>
          <w:sz w:val="28"/>
          <w:szCs w:val="28"/>
        </w:rPr>
        <w:t xml:space="preserve">1.1  Survivor Bias</w:t>
      </w:r>
    </w:p>
    <w:p>
      <w:pPr>
        <w:spacing w:after="80" w:before="80"/>
      </w:pPr>
      <w:r>
        <w:rPr>
          <w:rFonts w:ascii="Arial" w:cs="Arial" w:eastAsia="Arial" w:hAnsi="Arial"/>
          <w:b w:val="false"/>
          <w:bCs w:val="false"/>
          <w:i w:val="false"/>
          <w:iCs w:val="false"/>
          <w:color w:val="333333"/>
          <w:sz w:val="22"/>
          <w:szCs w:val="22"/>
        </w:rPr>
        <w:t xml:space="preserve">The median was computed only from applicants who already have eCOPR in hand. Slow-lane applicants — those still waiting — were completely excluded from the calculation. In the Aug–Nov 2025 cohort alone, 32 applicants still have not received eCOPR as of May 2026, and they have been waiting 173–284 days. Those cases were invisible to the old algorithm.</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Cohort</w:t>
            </w:r>
          </w:p>
        </w:tc>
        <w:tc>
          <w:tcPr>
            <w:tcW w:type="dxa" w:w="156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Completed (n)</w:t>
            </w:r>
          </w:p>
        </w:tc>
        <w:tc>
          <w:tcPr>
            <w:tcW w:type="dxa" w:w="156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Median (completed only)</w:t>
            </w:r>
          </w:p>
        </w:tc>
        <w:tc>
          <w:tcPr>
            <w:tcW w:type="dxa" w:w="156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Still waiting (n)</w:t>
            </w:r>
          </w:p>
        </w:tc>
        <w:tc>
          <w:tcPr>
            <w:tcW w:type="dxa" w:w="156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Days waiting so far</w:t>
            </w:r>
          </w:p>
        </w:tc>
        <w:tc>
          <w:tcPr>
            <w:tcW w:type="dxa" w:w="156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True estimated median</w:t>
            </w:r>
          </w:p>
        </w:tc>
      </w:tr>
      <w:tr>
        <w:tc>
          <w:tcPr>
            <w:tcW w:type="dxa" w:w="156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color w:val="333333"/>
                <w:sz w:val="20"/>
                <w:szCs w:val="20"/>
              </w:rPr>
              <w:t xml:space="preserve">Aug–Nov 2025</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37</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136 days</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32</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173–284 days</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~193 days (corrected)</w:t>
            </w:r>
          </w:p>
        </w:tc>
      </w:tr>
      <w:tr>
        <w:tc>
          <w:tcPr>
            <w:tcW w:type="dxa" w:w="156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color w:val="333333"/>
                <w:sz w:val="20"/>
                <w:szCs w:val="20"/>
              </w:rPr>
              <w:t xml:space="preserve">Dec 2025–Feb 2026</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18</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126 days (biased low)</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212</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108 days median</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TBD — too early</w:t>
            </w:r>
          </w:p>
        </w:tc>
      </w:tr>
      <w:tr>
        <w:tc>
          <w:tcPr>
            <w:tcW w:type="dxa" w:w="156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color w:val="333333"/>
                <w:sz w:val="20"/>
                <w:szCs w:val="20"/>
              </w:rPr>
              <w:t xml:space="preserve">Mar–May 2026</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0</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No data yet</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345</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1–73 days</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Estimate from trend</w:t>
            </w:r>
          </w:p>
        </w:tc>
      </w:tr>
    </w:tbl>
    <w:p>
      <w:pPr>
        <w:spacing w:after="80" w:before="80"/>
      </w:pPr>
    </w:p>
    <w:p>
      <w:pPr>
        <w:pStyle w:val="Heading2"/>
        <w:spacing w:after="120" w:before="280"/>
      </w:pPr>
      <w:r>
        <w:rPr>
          <w:rFonts w:ascii="Arial" w:cs="Arial" w:eastAsia="Arial" w:hAnsi="Arial"/>
          <w:b/>
          <w:bCs/>
          <w:color w:val="1A2332"/>
          <w:sz w:val="28"/>
          <w:szCs w:val="28"/>
        </w:rPr>
        <w:t xml:space="preserve">1.2  Stale Era Data</w:t>
      </w:r>
    </w:p>
    <w:p>
      <w:pPr>
        <w:spacing w:after="80" w:before="80"/>
      </w:pPr>
      <w:r>
        <w:rPr>
          <w:rFonts w:ascii="Arial" w:cs="Arial" w:eastAsia="Arial" w:hAnsi="Arial"/>
          <w:b w:val="false"/>
          <w:bCs w:val="false"/>
          <w:i w:val="false"/>
          <w:iCs w:val="false"/>
          <w:color w:val="333333"/>
          <w:sz w:val="22"/>
          <w:szCs w:val="22"/>
        </w:rPr>
        <w:t xml:space="preserve">The 2024 cohorts (Aug–Dec 2024) received eCOPR in 90–130 days — a faster IRCC processing era. Including these in the overall median dragged the estimate down. They are no longer representative of current processing speed.</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Era</w:t>
            </w:r>
          </w:p>
        </w:tc>
        <w:tc>
          <w:tcPr>
            <w:tcW w:type="dxa" w:w="312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Typical AOR → eCOPR</w:t>
            </w:r>
          </w:p>
        </w:tc>
        <w:tc>
          <w:tcPr>
            <w:tcW w:type="dxa" w:w="312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Representative of today?</w:t>
            </w:r>
          </w:p>
        </w:tc>
      </w:tr>
      <w:tr>
        <w:tc>
          <w:tcPr>
            <w:tcW w:type="dxa" w:w="312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color w:val="333333"/>
                <w:sz w:val="20"/>
                <w:szCs w:val="20"/>
              </w:rPr>
              <w:t xml:space="preserve">Aug–Dec 2024 (old era)</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90–130 days</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No — IRCC was faster then</w:t>
            </w:r>
          </w:p>
        </w:tc>
      </w:tr>
      <w:tr>
        <w:tc>
          <w:tcPr>
            <w:tcW w:type="dxa" w:w="312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color w:val="333333"/>
                <w:sz w:val="20"/>
                <w:szCs w:val="20"/>
              </w:rPr>
              <w:t xml:space="preserve">Jan–Jul 2025 (transition)</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105–145 days</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Partially</w:t>
            </w:r>
          </w:p>
        </w:tc>
      </w:tr>
      <w:tr>
        <w:tc>
          <w:tcPr>
            <w:tcW w:type="dxa" w:w="312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color w:val="333333"/>
                <w:sz w:val="20"/>
                <w:szCs w:val="20"/>
              </w:rPr>
              <w:t xml:space="preserve">Aug 2025 – present (current era)</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140–280+ days</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Yes — use this only</w:t>
            </w:r>
          </w:p>
        </w:tc>
      </w:tr>
    </w:tbl>
    <w:p>
      <w:pPr>
        <w:spacing w:after="80" w:before="80"/>
      </w:pPr>
    </w:p>
    <w:p>
      <w:pPr>
        <w:pBdr>
          <w:bottom w:val="single" w:color="DDDDDD" w:sz="4" w:space="1"/>
        </w:pBdr>
        <w:spacing w:after="160" w:before="160"/>
      </w:pPr>
    </w:p>
    <w:p>
      <w:pPr>
        <w:pStyle w:val="Heading1"/>
        <w:spacing w:after="160" w:before="360"/>
      </w:pPr>
      <w:r>
        <w:rPr>
          <w:rFonts w:ascii="Arial" w:cs="Arial" w:eastAsia="Arial" w:hAnsi="Arial"/>
          <w:b/>
          <w:bCs/>
          <w:color w:val="1A2332"/>
          <w:sz w:val="36"/>
          <w:szCs w:val="36"/>
        </w:rPr>
        <w:t xml:space="preserve">2. Updated Algorithm: Recency-Weighted with Survival Bias Correction</w:t>
      </w:r>
    </w:p>
    <w:p>
      <w:pPr>
        <w:pStyle w:val="Heading2"/>
        <w:spacing w:after="120" w:before="280"/>
      </w:pPr>
      <w:r>
        <w:rPr>
          <w:rFonts w:ascii="Arial" w:cs="Arial" w:eastAsia="Arial" w:hAnsi="Arial"/>
          <w:b/>
          <w:bCs/>
          <w:color w:val="1A2332"/>
          <w:sz w:val="28"/>
          <w:szCs w:val="28"/>
        </w:rPr>
        <w:t xml:space="preserve">2.1  Eligibility Window</w:t>
      </w:r>
    </w:p>
    <w:p>
      <w:pPr>
        <w:spacing w:after="80" w:before="80"/>
      </w:pPr>
      <w:r>
        <w:rPr>
          <w:rFonts w:ascii="Arial" w:cs="Arial" w:eastAsia="Arial" w:hAnsi="Arial"/>
          <w:b w:val="false"/>
          <w:bCs w:val="false"/>
          <w:i w:val="false"/>
          <w:iCs w:val="false"/>
          <w:color w:val="333333"/>
          <w:sz w:val="22"/>
          <w:szCs w:val="22"/>
        </w:rPr>
        <w:t xml:space="preserve">Only AOR cohorts from the dynamic cutoff date onwards are used to compute estimates. The cutoff is computed each weekly sync using the formula in §8b (cutoff_date = today − clamp(1.5 × stored_median, 270, 547)). As of May 2026 this resolves to approximately Jul 5, 2025. Earlier cohorts are archived for historical reference but excluded from active predictions.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c>
          <w:tcPr>
            <w:tcW w:type="dxa" w:w="2000"/>
            <w:tcBorders>
              <w:top w:val="single" w:color="CCCCCC" w:sz="1"/>
              <w:left w:val="single" w:color="CCCCCC" w:sz="1"/>
              <w:bottom w:val="single" w:color="CCCCCC" w:sz="1"/>
              <w:right w:val="single" w:color="CCCCCC" w:sz="1"/>
            </w:tcBorders>
            <w:shd w:fill="1A2332" w:val="clear"/>
            <w:tcMar>
              <w:top w:type="dxa" w:w="120"/>
              <w:left w:type="dxa" w:w="160"/>
              <w:bottom w:type="dxa" w:w="120"/>
              <w:right w:type="dxa" w:w="160"/>
            </w:tcMar>
          </w:tcPr>
          <w:p>
            <w:r>
              <w:rPr>
                <w:rFonts w:ascii="Arial" w:cs="Arial" w:eastAsia="Arial" w:hAnsi="Arial"/>
                <w:b/>
                <w:bCs/>
                <w:color w:val="FFFFFF"/>
                <w:sz w:val="20"/>
                <w:szCs w:val="20"/>
              </w:rPr>
              <w:t xml:space="preserve">Eligible cohorts</w:t>
            </w:r>
          </w:p>
        </w:tc>
        <w:tc>
          <w:tcPr>
            <w:tcW w:type="dxa" w:w="4560"/>
            <w:tcBorders>
              <w:top w:val="single" w:color="CCCCCC" w:sz="1"/>
              <w:left w:val="single" w:color="CCCCCC" w:sz="1"/>
              <w:bottom w:val="single" w:color="CCCCCC" w:sz="1"/>
              <w:right w:val="single" w:color="CCCCCC" w:sz="1"/>
            </w:tcBorders>
            <w:shd w:fill="EEF4ED" w:val="clear"/>
            <w:tcMar>
              <w:top w:type="dxa" w:w="120"/>
              <w:left w:type="dxa" w:w="160"/>
              <w:bottom w:type="dxa" w:w="120"/>
              <w:right w:type="dxa" w:w="160"/>
            </w:tcMar>
          </w:tcPr>
          <w:p>
            <w:r>
              <w:rPr>
                <w:rFonts w:ascii="Courier New" w:cs="Courier New" w:eastAsia="Courier New" w:hAnsi="Courier New"/>
                <w:b/>
                <w:bCs/>
                <w:color w:val="1B5E20"/>
                <w:sz w:val="20"/>
                <w:szCs w:val="20"/>
              </w:rPr>
              <w:t xml:space="preserve">AOR_date &gt;= cutoff_date (dynamic — see §8b)</w:t>
            </w:r>
          </w:p>
        </w:tc>
        <w:tc>
          <w:tcPr>
            <w:tcW w:type="dxa" w:w="2800"/>
            <w:tcBorders>
              <w:top w:val="single" w:color="CCCCCC" w:sz="1"/>
              <w:left w:val="single" w:color="CCCCCC" w:sz="1"/>
              <w:bottom w:val="single" w:color="CCCCCC" w:sz="1"/>
              <w:right w:val="single" w:color="CCCCCC" w:sz="1"/>
            </w:tcBorders>
            <w:shd w:fill="FAFAFA" w:val="clear"/>
            <w:tcMar>
              <w:top w:type="dxa" w:w="120"/>
              <w:left w:type="dxa" w:w="160"/>
              <w:bottom w:type="dxa" w:w="120"/>
              <w:right w:type="dxa" w:w="160"/>
            </w:tcMar>
          </w:tcPr>
          <w:p>
            <w:r>
              <w:rPr>
                <w:rFonts w:ascii="Arial" w:cs="Arial" w:eastAsia="Arial" w:hAnsi="Arial"/>
                <w:i/>
                <w:iCs/>
                <w:color w:val="6B7280"/>
                <w:sz w:val="19"/>
                <w:szCs w:val="19"/>
              </w:rPr>
              <w:t xml:space="preserve">Cutoff auto-adjusts weekly with stored median</w:t>
            </w:r>
          </w:p>
        </w:tc>
      </w:tr>
    </w:tbl>
    <w:p>
      <w:pPr>
        <w:spacing w:after="80" w:before="80"/>
      </w:pPr>
    </w:p>
    <w:p>
      <w:pPr>
        <w:pStyle w:val="Heading2"/>
        <w:spacing w:after="120" w:before="280"/>
      </w:pPr>
      <w:r>
        <w:rPr>
          <w:rFonts w:ascii="Arial" w:cs="Arial" w:eastAsia="Arial" w:hAnsi="Arial"/>
          <w:b/>
          <w:bCs/>
          <w:color w:val="1A2332"/>
          <w:sz w:val="28"/>
          <w:szCs w:val="28"/>
        </w:rPr>
        <w:t xml:space="preserve">2.2  Survival Bias Correction</w:t>
      </w:r>
    </w:p>
    <w:p>
      <w:pPr>
        <w:spacing w:after="80" w:before="80"/>
      </w:pPr>
      <w:r>
        <w:rPr>
          <w:rFonts w:ascii="Arial" w:cs="Arial" w:eastAsia="Arial" w:hAnsi="Arial"/>
          <w:b w:val="false"/>
          <w:bCs w:val="false"/>
          <w:i w:val="false"/>
          <w:iCs w:val="false"/>
          <w:color w:val="333333"/>
          <w:sz w:val="22"/>
          <w:szCs w:val="22"/>
        </w:rPr>
        <w:t xml:space="preserve">For any cohort where applicants are still waiting, the algorithm imputes a projected completion date rather than ignoring them. The imputation uses a conservative lower bound: current days elapsed + 30 days minimum. This prevents the median from being pulled down by the fast completers who are visible, while the slower completers who are invisible drive the true average higher.</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c>
          <w:tcPr>
            <w:tcW w:type="dxa" w:w="2000"/>
            <w:tcBorders>
              <w:top w:val="single" w:color="CCCCCC" w:sz="1"/>
              <w:left w:val="single" w:color="CCCCCC" w:sz="1"/>
              <w:bottom w:val="single" w:color="CCCCCC" w:sz="1"/>
              <w:right w:val="single" w:color="CCCCCC" w:sz="1"/>
            </w:tcBorders>
            <w:shd w:fill="1A2332" w:val="clear"/>
            <w:tcMar>
              <w:top w:type="dxa" w:w="120"/>
              <w:left w:type="dxa" w:w="160"/>
              <w:bottom w:type="dxa" w:w="120"/>
              <w:right w:type="dxa" w:w="160"/>
            </w:tcMar>
          </w:tcPr>
          <w:p>
            <w:r>
              <w:rPr>
                <w:rFonts w:ascii="Arial" w:cs="Arial" w:eastAsia="Arial" w:hAnsi="Arial"/>
                <w:b/>
                <w:bCs/>
                <w:color w:val="FFFFFF"/>
                <w:sz w:val="20"/>
                <w:szCs w:val="20"/>
              </w:rPr>
              <w:t xml:space="preserve">Imputed days</w:t>
            </w:r>
          </w:p>
        </w:tc>
        <w:tc>
          <w:tcPr>
            <w:tcW w:type="dxa" w:w="4560"/>
            <w:tcBorders>
              <w:top w:val="single" w:color="CCCCCC" w:sz="1"/>
              <w:left w:val="single" w:color="CCCCCC" w:sz="1"/>
              <w:bottom w:val="single" w:color="CCCCCC" w:sz="1"/>
              <w:right w:val="single" w:color="CCCCCC" w:sz="1"/>
            </w:tcBorders>
            <w:shd w:fill="EEF4ED" w:val="clear"/>
            <w:tcMar>
              <w:top w:type="dxa" w:w="120"/>
              <w:left w:type="dxa" w:w="160"/>
              <w:bottom w:type="dxa" w:w="120"/>
              <w:right w:type="dxa" w:w="160"/>
            </w:tcMar>
          </w:tcPr>
          <w:p>
            <w:r>
              <w:rPr>
                <w:rFonts w:ascii="Courier New" w:cs="Courier New" w:eastAsia="Courier New" w:hAnsi="Courier New"/>
                <w:b/>
                <w:bCs/>
                <w:color w:val="1B5E20"/>
                <w:sz w:val="20"/>
                <w:szCs w:val="20"/>
              </w:rPr>
              <w:t xml:space="preserve">days_elapsed_so_far + 30</w:t>
            </w:r>
          </w:p>
        </w:tc>
        <w:tc>
          <w:tcPr>
            <w:tcW w:type="dxa" w:w="2800"/>
            <w:tcBorders>
              <w:top w:val="single" w:color="CCCCCC" w:sz="1"/>
              <w:left w:val="single" w:color="CCCCCC" w:sz="1"/>
              <w:bottom w:val="single" w:color="CCCCCC" w:sz="1"/>
              <w:right w:val="single" w:color="CCCCCC" w:sz="1"/>
            </w:tcBorders>
            <w:shd w:fill="FAFAFA" w:val="clear"/>
            <w:tcMar>
              <w:top w:type="dxa" w:w="120"/>
              <w:left w:type="dxa" w:w="160"/>
              <w:bottom w:type="dxa" w:w="120"/>
              <w:right w:type="dxa" w:w="160"/>
            </w:tcMar>
          </w:tcPr>
          <w:p>
            <w:r>
              <w:rPr>
                <w:rFonts w:ascii="Arial" w:cs="Arial" w:eastAsia="Arial" w:hAnsi="Arial"/>
                <w:i/>
                <w:iCs/>
                <w:color w:val="6B7280"/>
                <w:sz w:val="19"/>
                <w:szCs w:val="19"/>
              </w:rPr>
              <w:t xml:space="preserve">For each still-waiting applicant</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c>
          <w:tcPr>
            <w:tcW w:type="dxa" w:w="2000"/>
            <w:tcBorders>
              <w:top w:val="single" w:color="CCCCCC" w:sz="1"/>
              <w:left w:val="single" w:color="CCCCCC" w:sz="1"/>
              <w:bottom w:val="single" w:color="CCCCCC" w:sz="1"/>
              <w:right w:val="single" w:color="CCCCCC" w:sz="1"/>
            </w:tcBorders>
            <w:shd w:fill="1A2332" w:val="clear"/>
            <w:tcMar>
              <w:top w:type="dxa" w:w="120"/>
              <w:left w:type="dxa" w:w="160"/>
              <w:bottom w:type="dxa" w:w="120"/>
              <w:right w:type="dxa" w:w="160"/>
            </w:tcMar>
          </w:tcPr>
          <w:p>
            <w:r>
              <w:rPr>
                <w:rFonts w:ascii="Arial" w:cs="Arial" w:eastAsia="Arial" w:hAnsi="Arial"/>
                <w:b/>
                <w:bCs/>
                <w:color w:val="FFFFFF"/>
                <w:sz w:val="20"/>
                <w:szCs w:val="20"/>
              </w:rPr>
              <w:t xml:space="preserve">Corrected median</w:t>
            </w:r>
          </w:p>
        </w:tc>
        <w:tc>
          <w:tcPr>
            <w:tcW w:type="dxa" w:w="4560"/>
            <w:tcBorders>
              <w:top w:val="single" w:color="CCCCCC" w:sz="1"/>
              <w:left w:val="single" w:color="CCCCCC" w:sz="1"/>
              <w:bottom w:val="single" w:color="CCCCCC" w:sz="1"/>
              <w:right w:val="single" w:color="CCCCCC" w:sz="1"/>
            </w:tcBorders>
            <w:shd w:fill="EEF4ED" w:val="clear"/>
            <w:tcMar>
              <w:top w:type="dxa" w:w="120"/>
              <w:left w:type="dxa" w:w="160"/>
              <w:bottom w:type="dxa" w:w="120"/>
              <w:right w:type="dxa" w:w="160"/>
            </w:tcMar>
          </w:tcPr>
          <w:p>
            <w:r>
              <w:rPr>
                <w:rFonts w:ascii="Courier New" w:cs="Courier New" w:eastAsia="Courier New" w:hAnsi="Courier New"/>
                <w:b/>
                <w:bCs/>
                <w:color w:val="1B5E20"/>
                <w:sz w:val="20"/>
                <w:szCs w:val="20"/>
              </w:rPr>
              <w:t xml:space="preserve">MEDIAN(completed_days ∪ imputed_days)</w:t>
            </w:r>
          </w:p>
        </w:tc>
        <w:tc>
          <w:tcPr>
            <w:tcW w:type="dxa" w:w="2800"/>
            <w:tcBorders>
              <w:top w:val="single" w:color="CCCCCC" w:sz="1"/>
              <w:left w:val="single" w:color="CCCCCC" w:sz="1"/>
              <w:bottom w:val="single" w:color="CCCCCC" w:sz="1"/>
              <w:right w:val="single" w:color="CCCCCC" w:sz="1"/>
            </w:tcBorders>
            <w:shd w:fill="FAFAFA" w:val="clear"/>
            <w:tcMar>
              <w:top w:type="dxa" w:w="120"/>
              <w:left w:type="dxa" w:w="160"/>
              <w:bottom w:type="dxa" w:w="120"/>
              <w:right w:type="dxa" w:w="160"/>
            </w:tcMar>
          </w:tcPr>
          <w:p>
            <w:r>
              <w:rPr>
                <w:rFonts w:ascii="Arial" w:cs="Arial" w:eastAsia="Arial" w:hAnsi="Arial"/>
                <w:i/>
                <w:iCs/>
                <w:color w:val="6B7280"/>
                <w:sz w:val="19"/>
                <w:szCs w:val="19"/>
              </w:rPr>
              <w:t xml:space="preserve">Combined distribution</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5E9" w:val="clear"/>
            <w:tcMar>
              <w:top w:type="dxa" w:w="160"/>
              <w:left w:type="dxa" w:w="240"/>
              <w:bottom w:type="dxa" w:w="160"/>
              <w:right w:type="dxa" w:w="240"/>
            </w:tcMar>
          </w:tcPr>
          <w:p>
            <w:r>
              <w:rPr>
                <w:rFonts w:ascii="Arial" w:cs="Arial" w:eastAsia="Arial" w:hAnsi="Arial"/>
                <w:b/>
                <w:bCs/>
                <w:color w:val="1A2332"/>
                <w:sz w:val="22"/>
                <w:szCs w:val="22"/>
              </w:rPr>
              <w:t xml:space="preserve">Why +30 days?</w:t>
            </w:r>
          </w:p>
          <w:p>
            <w:pPr>
              <w:spacing w:after="0" w:before="40"/>
            </w:pPr>
            <w:r>
              <w:rPr>
                <w:rFonts w:ascii="Arial" w:cs="Arial" w:eastAsia="Arial" w:hAnsi="Arial"/>
                <w:color w:val="444444"/>
                <w:sz w:val="21"/>
                <w:szCs w:val="21"/>
              </w:rPr>
              <w:t xml:space="preserve">30 days is a conservative lower bound. A still-waiting applicant cannot receive eCOPR in the past — so their true completion day is at minimum today. Adding 30 days acknowledges that processing doesn't resolve overnight. In practice, many slow-lane cases wait 60-120+ additional days, so this correction is conservative and the real median is likely higher.</w:t>
            </w:r>
          </w:p>
        </w:tc>
      </w:tr>
    </w:tbl>
    <w:p>
      <w:pPr>
        <w:spacing w:after="80" w:before="80"/>
      </w:pPr>
    </w:p>
    <w:p>
      <w:pPr>
        <w:pStyle w:val="Heading2"/>
        <w:spacing w:after="120" w:before="280"/>
      </w:pPr>
      <w:r>
        <w:rPr>
          <w:rFonts w:ascii="Arial" w:cs="Arial" w:eastAsia="Arial" w:hAnsi="Arial"/>
          <w:b/>
          <w:bCs/>
          <w:color w:val="1A2332"/>
          <w:sz w:val="28"/>
          <w:szCs w:val="28"/>
        </w:rPr>
        <w:t xml:space="preserve">2.3  Recency Weighting</w:t>
      </w:r>
    </w:p>
    <w:p>
      <w:pPr>
        <w:spacing w:after="80" w:before="80"/>
      </w:pPr>
      <w:r>
        <w:rPr>
          <w:rFonts w:ascii="Arial" w:cs="Arial" w:eastAsia="Arial" w:hAnsi="Arial"/>
          <w:b w:val="false"/>
          <w:bCs w:val="false"/>
          <w:i w:val="false"/>
          <w:iCs w:val="false"/>
          <w:color w:val="333333"/>
          <w:sz w:val="22"/>
          <w:szCs w:val="22"/>
        </w:rPr>
        <w:t xml:space="preserve">Within the eligible window, more recent eCOPR completions receive higher weight. This is implemented by giving 2x weight to completions in the trailing 90 days. The effect: a sudden slowdown or speedup in IRCC processing appears in estimates within 4-6 weeks rather than being diluted by older data.</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Data age</w:t>
            </w:r>
          </w:p>
        </w:tc>
        <w:tc>
          <w:tcPr>
            <w:tcW w:type="dxa" w:w="312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312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312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color w:val="333333"/>
                <w:sz w:val="20"/>
                <w:szCs w:val="20"/>
              </w:rPr>
              <w:t xml:space="preserve">eCOPR in last 90 days</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2x</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Most predictive of current pace</w:t>
            </w:r>
          </w:p>
        </w:tc>
      </w:tr>
      <w:tr>
        <w:tc>
          <w:tcPr>
            <w:tcW w:type="dxa" w:w="312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color w:val="333333"/>
                <w:sz w:val="20"/>
                <w:szCs w:val="20"/>
              </w:rPr>
              <w:t xml:space="preserve">eCOPR 91–180 days ago</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1x</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Recent but slightly stale</w:t>
            </w:r>
          </w:p>
        </w:tc>
      </w:tr>
      <w:tr>
        <w:tc>
          <w:tcPr>
            <w:tcW w:type="dxa" w:w="312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color w:val="333333"/>
                <w:sz w:val="20"/>
                <w:szCs w:val="20"/>
              </w:rPr>
              <w:t xml:space="preserve">eCOPR 180+ days ago (within eligible window)</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0.5x</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Context only — may reflect different conditions</w:t>
            </w:r>
          </w:p>
        </w:tc>
      </w:tr>
      <w:tr>
        <w:tc>
          <w:tcPr>
            <w:tcW w:type="dxa" w:w="312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color w:val="333333"/>
                <w:sz w:val="20"/>
                <w:szCs w:val="20"/>
              </w:rPr>
              <w:t xml:space="preserve">eCOPR before cutoff_date</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Excluded</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Different IRCC era — not representative</w:t>
            </w:r>
          </w:p>
        </w:tc>
      </w:tr>
    </w:tbl>
    <w:p>
      <w:pPr>
        <w:spacing w:after="80" w:before="80"/>
      </w:pPr>
    </w:p>
    <w:p>
      <w:pPr>
        <w:pStyle w:val="Heading2"/>
        <w:spacing w:after="120" w:before="280"/>
      </w:pPr>
      <w:r>
        <w:rPr>
          <w:rFonts w:ascii="Arial" w:cs="Arial" w:eastAsia="Arial" w:hAnsi="Arial"/>
          <w:b/>
          <w:bCs/>
          <w:color w:val="1A2332"/>
          <w:sz w:val="28"/>
          <w:szCs w:val="28"/>
        </w:rPr>
        <w:t xml:space="preserve">2.4  Current Calibrated Estimates (May 2026)</w:t>
      </w:r>
    </w:p>
    <w:p>
      <w:pPr>
        <w:spacing w:after="80" w:before="80"/>
      </w:pPr>
      <w:r>
        <w:rPr>
          <w:rFonts w:ascii="Arial" w:cs="Arial" w:eastAsia="Arial" w:hAnsi="Arial"/>
          <w:b w:val="false"/>
          <w:bCs w:val="false"/>
          <w:i w:val="false"/>
          <w:iCs w:val="false"/>
          <w:color w:val="333333"/>
          <w:sz w:val="22"/>
          <w:szCs w:val="22"/>
        </w:rPr>
        <w:t xml:space="preserve">Based on the corrected algorithm applied to the 600-case dataset as of May 2026, the calibrated CEC processing estimates are: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Statistic</w:t>
            </w:r>
          </w:p>
        </w:tc>
        <w:tc>
          <w:tcPr>
            <w:tcW w:type="dxa" w:w="234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Days from AOR</w:t>
            </w:r>
          </w:p>
        </w:tc>
        <w:tc>
          <w:tcPr>
            <w:tcW w:type="dxa" w:w="234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c>
          <w:tcPr>
            <w:tcW w:type="dxa" w:w="234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Approx. date (Mar 4 AOR)</w:t>
            </w:r>
          </w:p>
        </w:tc>
      </w:tr>
      <w:tr>
        <w:tc>
          <w:tcPr>
            <w:tcW w:type="dxa" w:w="234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color w:val="333333"/>
                <w:sz w:val="20"/>
                <w:szCs w:val="20"/>
              </w:rPr>
              <w:t xml:space="preserve">P10 (fast lane)</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~140 days</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Only 10% of applicants are faster than this</w:t>
            </w:r>
          </w:p>
        </w:tc>
        <w:tc>
          <w:tcPr>
            <w:tcW w:type="dxa" w:w="234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color w:val="333333"/>
                <w:sz w:val="20"/>
                <w:szCs w:val="20"/>
              </w:rPr>
              <w:t xml:space="preserve">Jul 22, 2026</w:t>
            </w:r>
          </w:p>
        </w:tc>
      </w:tr>
      <w:tr>
        <w:tc>
          <w:tcPr>
            <w:tcW w:type="dxa" w:w="234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color w:val="333333"/>
                <w:sz w:val="20"/>
                <w:szCs w:val="20"/>
              </w:rPr>
              <w:t xml:space="preserve">P25 (best realistic)</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~175 days</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Lower bound of likely window</w:t>
            </w:r>
          </w:p>
        </w:tc>
        <w:tc>
          <w:tcPr>
            <w:tcW w:type="dxa" w:w="234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color w:val="333333"/>
                <w:sz w:val="20"/>
                <w:szCs w:val="20"/>
              </w:rPr>
              <w:t xml:space="preserve">Aug 26, 2026</w:t>
            </w:r>
          </w:p>
        </w:tc>
      </w:tr>
      <w:tr>
        <w:tc>
          <w:tcPr>
            <w:tcW w:type="dxa" w:w="234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bCs/>
                <w:color w:val="333333"/>
                <w:sz w:val="20"/>
                <w:szCs w:val="20"/>
              </w:rPr>
              <w:t xml:space="preserve">Median (P50)</w:t>
            </w:r>
          </w:p>
        </w:tc>
        <w:tc>
          <w:tcPr>
            <w:tcW w:type="dxa" w:w="234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bCs/>
                <w:color w:val="333333"/>
                <w:sz w:val="20"/>
                <w:szCs w:val="20"/>
              </w:rPr>
              <w:t xml:space="preserve">~210 days (~7 months)</w:t>
            </w:r>
          </w:p>
        </w:tc>
        <w:tc>
          <w:tcPr>
            <w:tcW w:type="dxa" w:w="234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bCs/>
                <w:color w:val="333333"/>
                <w:sz w:val="20"/>
                <w:szCs w:val="20"/>
              </w:rPr>
              <w:t xml:space="preserve">Half approved faster, half slower</w:t>
            </w:r>
          </w:p>
        </w:tc>
        <w:tc>
          <w:tcPr>
            <w:tcW w:type="dxa" w:w="2340"/>
            <w:tcBorders>
              <w:top w:val="single" w:color="CCCCCC" w:sz="1"/>
              <w:left w:val="single" w:color="CCCCCC" w:sz="1"/>
              <w:bottom w:val="single" w:color="CCCCCC" w:sz="1"/>
              <w:right w:val="single" w:color="CCCCCC" w:sz="1"/>
            </w:tcBorders>
            <w:shd w:fill="1A7A5C" w:val="clear"/>
            <w:tcMar>
              <w:top w:type="dxa" w:w="80"/>
              <w:left w:type="dxa" w:w="120"/>
              <w:bottom w:type="dxa" w:w="80"/>
              <w:right w:type="dxa" w:w="120"/>
            </w:tcMar>
          </w:tcPr>
          <w:p>
            <w:r>
              <w:rPr>
                <w:rFonts w:ascii="Arial" w:cs="Arial" w:eastAsia="Arial" w:hAnsi="Arial"/>
                <w:b/>
                <w:bCs/>
                <w:color w:val="FFFFFF"/>
                <w:sz w:val="20"/>
                <w:szCs w:val="20"/>
              </w:rPr>
              <w:t xml:space="preserve">Sep 30, 2026</w:t>
            </w:r>
          </w:p>
        </w:tc>
      </w:tr>
      <w:tr>
        <w:tc>
          <w:tcPr>
            <w:tcW w:type="dxa" w:w="234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color w:val="333333"/>
                <w:sz w:val="20"/>
                <w:szCs w:val="20"/>
              </w:rPr>
              <w:t xml:space="preserve">P75 (likely)</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~245 days (~8 months)</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Upper bound of likely window</w:t>
            </w:r>
          </w:p>
        </w:tc>
        <w:tc>
          <w:tcPr>
            <w:tcW w:type="dxa" w:w="234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color w:val="333333"/>
                <w:sz w:val="20"/>
                <w:szCs w:val="20"/>
              </w:rPr>
              <w:t xml:space="preserve">Nov 4, 2026</w:t>
            </w:r>
          </w:p>
        </w:tc>
      </w:tr>
      <w:tr>
        <w:tc>
          <w:tcPr>
            <w:tcW w:type="dxa" w:w="234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color w:val="333333"/>
                <w:sz w:val="20"/>
                <w:szCs w:val="20"/>
              </w:rPr>
              <w:t xml:space="preserve">P90 (slow lane)</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~280 days (~9 months)</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Only 10% wait longer than this</w:t>
            </w:r>
          </w:p>
        </w:tc>
        <w:tc>
          <w:tcPr>
            <w:tcW w:type="dxa" w:w="234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color w:val="333333"/>
                <w:sz w:val="20"/>
                <w:szCs w:val="20"/>
              </w:rPr>
              <w:t xml:space="preserve">Dec 9, 2026</w:t>
            </w:r>
          </w:p>
        </w:tc>
      </w:tr>
    </w:tbl>
    <w:p>
      <w:pPr>
        <w:spacing w:after="80" w:before="80"/>
      </w:pPr>
    </w:p>
    <w:p>
      <w:pPr>
        <w:spacing w:after="80" w:before="80"/>
      </w:pPr>
      <w:r>
        <w:rPr>
          <w:rFonts w:ascii="Arial" w:cs="Arial" w:eastAsia="Arial" w:hAnsi="Arial"/>
          <w:b w:val="false"/>
          <w:bCs w:val="false"/>
          <w:i/>
          <w:iCs/>
          <w:color w:val="333333"/>
          <w:sz w:val="22"/>
          <w:szCs w:val="22"/>
        </w:rPr>
        <w:t xml:space="preserve">The 210-day median aligns with the observed IRCC trend as of May 2026. This estimate is validated against the Aug–Nov 2025 cohort corrected distribution which yields a median of 193 days for completions, with the still-waiting group sitting at 173–284 days elapsed.</w:t>
      </w:r>
    </w:p>
    <w:p>
      <w:pPr>
        <w:spacing w:after="80" w:before="80"/>
      </w:pPr>
    </w:p>
    <w:p>
      <w:pPr>
        <w:pBdr>
          <w:bottom w:val="single" w:color="DDDDDD" w:sz="4" w:space="1"/>
        </w:pBdr>
        <w:spacing w:after="160" w:before="160"/>
      </w:pPr>
    </w:p>
    <w:p>
      <w:pPr>
        <w:pStyle w:val="Heading1"/>
        <w:spacing w:after="160" w:before="360"/>
      </w:pPr>
      <w:r>
        <w:rPr>
          <w:rFonts w:ascii="Arial" w:cs="Arial" w:eastAsia="Arial" w:hAnsi="Arial"/>
          <w:b/>
          <w:bCs/>
          <w:color w:val="1A2332"/>
          <w:sz w:val="36"/>
          <w:szCs w:val="36"/>
        </w:rPr>
        <w:t xml:space="preserve">3. Data Source &amp; Primary Key</w:t>
      </w:r>
    </w:p>
    <w:p>
      <w:pPr>
        <w:spacing w:after="80" w:before="80"/>
      </w:pPr>
      <w:r>
        <w:rPr>
          <w:rFonts w:ascii="Arial" w:cs="Arial" w:eastAsia="Arial" w:hAnsi="Arial"/>
          <w:b w:val="false"/>
          <w:bCs w:val="false"/>
          <w:i w:val="false"/>
          <w:iCs w:val="false"/>
          <w:color w:val="333333"/>
          <w:sz w:val="22"/>
          <w:szCs w:val="22"/>
        </w:rPr>
        <w:t xml:space="preserve">All data is scraped weekly from the public CEC Express Entry Tracker on myimmitracker.com. The primary key is Case # (e.g. case-126792) — the unique internal ID assigned by myimmitracker. Username is not the primary key because the same person can have multiple cases.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12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Primary Key?</w:t>
            </w:r>
          </w:p>
        </w:tc>
        <w:tc>
          <w:tcPr>
            <w:tcW w:type="dxa" w:w="312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color w:val="333333"/>
                <w:sz w:val="20"/>
                <w:szCs w:val="20"/>
              </w:rPr>
              <w:t xml:space="preserve">Case #</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YES — unique across all 600 records</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Assigned once by myimmitracker, never changes</w:t>
            </w:r>
          </w:p>
        </w:tc>
      </w:tr>
      <w:tr>
        <w:tc>
          <w:tcPr>
            <w:tcW w:type="dxa" w:w="312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color w:val="333333"/>
                <w:sz w:val="20"/>
                <w:szCs w:val="20"/>
              </w:rPr>
              <w:t xml:space="preserve">Username</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NO — 3 duplicates found in dataset</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Same person can have multiple applications</w:t>
            </w:r>
          </w:p>
        </w:tc>
      </w:tr>
      <w:tr>
        <w:tc>
          <w:tcPr>
            <w:tcW w:type="dxa" w:w="312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color w:val="333333"/>
                <w:sz w:val="20"/>
                <w:szCs w:val="20"/>
              </w:rPr>
              <w:t xml:space="preserve">AOR Date</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NO — not unique</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Multiple applicants share same AOR date</w:t>
            </w:r>
          </w:p>
        </w:tc>
      </w:tr>
    </w:tbl>
    <w:p>
      <w:pPr>
        <w:spacing w:after="80" w:before="80"/>
      </w:pPr>
    </w:p>
    <w:p>
      <w:pPr>
        <w:pBdr>
          <w:bottom w:val="single" w:color="DDDDDD" w:sz="4" w:space="1"/>
        </w:pBdr>
        <w:spacing w:after="160" w:before="160"/>
      </w:pPr>
    </w:p>
    <w:p>
      <w:pPr>
        <w:pStyle w:val="Heading1"/>
        <w:spacing w:after="160" w:before="360"/>
      </w:pPr>
      <w:r>
        <w:rPr>
          <w:rFonts w:ascii="Arial" w:cs="Arial" w:eastAsia="Arial" w:hAnsi="Arial"/>
          <w:b/>
          <w:bCs/>
          <w:color w:val="1A2332"/>
          <w:sz w:val="36"/>
          <w:szCs w:val="36"/>
        </w:rPr>
        <w:t xml:space="preserve">4. Immigration Stream: CEC (Unified)</w:t>
      </w:r>
    </w:p>
    <w:p>
      <w:pPr>
        <w:spacing w:after="80" w:before="80"/>
      </w:pPr>
      <w:r>
        <w:rPr>
          <w:rFonts w:ascii="Arial" w:cs="Arial" w:eastAsia="Arial" w:hAnsi="Arial"/>
          <w:b w:val="false"/>
          <w:bCs w:val="false"/>
          <w:i w:val="false"/>
          <w:iCs w:val="false"/>
          <w:color w:val="333333"/>
          <w:sz w:val="22"/>
          <w:szCs w:val="22"/>
        </w:rPr>
        <w:t xml:space="preserve">CEC General and CEC STEM are treated as a single unified CEC stream. All NOC codes eligible for CEC belong to the same cohort. The NOC code column is stored for reference but does not split queue position or cohort statistics.</w:t>
      </w:r>
    </w:p>
    <w:p>
      <w:pPr>
        <w:spacing w:after="80" w:before="80"/>
      </w:pPr>
    </w:p>
    <w:p>
      <w:pPr>
        <w:pBdr>
          <w:bottom w:val="single" w:color="DDDDDD" w:sz="4" w:space="1"/>
        </w:pBdr>
        <w:spacing w:after="160" w:before="160"/>
      </w:pPr>
    </w:p>
    <w:p>
      <w:pPr>
        <w:pStyle w:val="Heading1"/>
        <w:spacing w:after="160" w:before="360"/>
      </w:pPr>
      <w:r>
        <w:rPr>
          <w:rFonts w:ascii="Arial" w:cs="Arial" w:eastAsia="Arial" w:hAnsi="Arial"/>
          <w:b/>
          <w:bCs/>
          <w:color w:val="1A2332"/>
          <w:sz w:val="36"/>
          <w:szCs w:val="36"/>
        </w:rPr>
        <w:t xml:space="preserve">5. Cohort Definition</w:t>
      </w:r>
    </w:p>
    <w:p>
      <w:pPr>
        <w:spacing w:after="80" w:before="200"/>
      </w:pPr>
      <w:r>
        <w:rPr>
          <w:rFonts w:ascii="Arial" w:cs="Arial" w:eastAsia="Arial" w:hAnsi="Arial"/>
          <w:b/>
          <w:bCs/>
          <w:color w:val="1B5E20"/>
          <w:sz w:val="24"/>
          <w:szCs w:val="24"/>
        </w:rPr>
        <w:t xml:space="preserve">Cohort Key  =  AOR Month  +  CEC  +  Application Type (Inland / Outland)</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Cohort Month</w:t>
            </w:r>
          </w:p>
        </w:tc>
        <w:tc>
          <w:tcPr>
            <w:tcW w:type="dxa" w:w="234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Applicants (current dataset)</w:t>
            </w:r>
          </w:p>
        </w:tc>
        <w:tc>
          <w:tcPr>
            <w:tcW w:type="dxa" w:w="234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Completed</w:t>
            </w:r>
          </w:p>
        </w:tc>
        <w:tc>
          <w:tcPr>
            <w:tcW w:type="dxa" w:w="234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Correction applied?</w:t>
            </w:r>
          </w:p>
        </w:tc>
      </w:tr>
      <w:tr>
        <w:tc>
          <w:tcPr>
            <w:tcW w:type="dxa" w:w="234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color w:val="333333"/>
                <w:sz w:val="20"/>
                <w:szCs w:val="20"/>
              </w:rPr>
              <w:t xml:space="preserve">Aug–Nov 2025</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~100</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37</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Yes — survival bias correction</w:t>
            </w:r>
          </w:p>
        </w:tc>
      </w:tr>
      <w:tr>
        <w:tc>
          <w:tcPr>
            <w:tcW w:type="dxa" w:w="234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color w:val="333333"/>
                <w:sz w:val="20"/>
                <w:szCs w:val="20"/>
              </w:rPr>
              <w:t xml:space="preserve">Dec 2025–Feb 2026</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~230</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18 (early completers)</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Yes — most still waiting</w:t>
            </w:r>
          </w:p>
        </w:tc>
      </w:tr>
      <w:tr>
        <w:tc>
          <w:tcPr>
            <w:tcW w:type="dxa" w:w="234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color w:val="333333"/>
                <w:sz w:val="20"/>
                <w:szCs w:val="20"/>
              </w:rPr>
              <w:t xml:space="preserve">Mar–May 2026</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~270</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0</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Estimate from trend only</w:t>
            </w:r>
          </w:p>
        </w:tc>
      </w:tr>
    </w:tbl>
    <w:p>
      <w:pPr>
        <w:spacing w:after="80" w:before="80"/>
      </w:pPr>
    </w:p>
    <w:p>
      <w:pPr>
        <w:pBdr>
          <w:bottom w:val="single" w:color="DDDDDD" w:sz="4" w:space="1"/>
        </w:pBdr>
        <w:spacing w:after="160" w:before="160"/>
      </w:pPr>
    </w:p>
    <w:p>
      <w:pPr>
        <w:pStyle w:val="Heading1"/>
        <w:spacing w:after="160" w:before="360"/>
      </w:pPr>
      <w:r>
        <w:rPr>
          <w:rFonts w:ascii="Arial" w:cs="Arial" w:eastAsia="Arial" w:hAnsi="Arial"/>
          <w:b/>
          <w:bCs/>
          <w:color w:val="1A2332"/>
          <w:sz w:val="36"/>
          <w:szCs w:val="36"/>
        </w:rPr>
        <w:t xml:space="preserve">6. Core Algorithm</w:t>
      </w:r>
    </w:p>
    <w:p>
      <w:pPr>
        <w:pStyle w:val="Heading2"/>
        <w:spacing w:after="120" w:before="280"/>
      </w:pPr>
      <w:r>
        <w:rPr>
          <w:rFonts w:ascii="Arial" w:cs="Arial" w:eastAsia="Arial" w:hAnsi="Arial"/>
          <w:b/>
          <w:bCs/>
          <w:color w:val="1A2332"/>
          <w:sz w:val="28"/>
          <w:szCs w:val="28"/>
        </w:rPr>
        <w:t xml:space="preserve">6.1  Queue 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c>
          <w:tcPr>
            <w:tcW w:type="dxa" w:w="2000"/>
            <w:tcBorders>
              <w:top w:val="single" w:color="CCCCCC" w:sz="1"/>
              <w:left w:val="single" w:color="CCCCCC" w:sz="1"/>
              <w:bottom w:val="single" w:color="CCCCCC" w:sz="1"/>
              <w:right w:val="single" w:color="CCCCCC" w:sz="1"/>
            </w:tcBorders>
            <w:shd w:fill="1A2332" w:val="clear"/>
            <w:tcMar>
              <w:top w:type="dxa" w:w="120"/>
              <w:left w:type="dxa" w:w="160"/>
              <w:bottom w:type="dxa" w:w="120"/>
              <w:right w:type="dxa" w:w="160"/>
            </w:tcMar>
          </w:tcPr>
          <w:p>
            <w:r>
              <w:rPr>
                <w:rFonts w:ascii="Arial" w:cs="Arial" w:eastAsia="Arial" w:hAnsi="Arial"/>
                <w:b/>
                <w:bCs/>
                <w:color w:val="FFFFFF"/>
                <w:sz w:val="20"/>
                <w:szCs w:val="20"/>
              </w:rPr>
              <w:t xml:space="preserve">Queue Position</w:t>
            </w:r>
          </w:p>
        </w:tc>
        <w:tc>
          <w:tcPr>
            <w:tcW w:type="dxa" w:w="4560"/>
            <w:tcBorders>
              <w:top w:val="single" w:color="CCCCCC" w:sz="1"/>
              <w:left w:val="single" w:color="CCCCCC" w:sz="1"/>
              <w:bottom w:val="single" w:color="CCCCCC" w:sz="1"/>
              <w:right w:val="single" w:color="CCCCCC" w:sz="1"/>
            </w:tcBorders>
            <w:shd w:fill="EEF4ED" w:val="clear"/>
            <w:tcMar>
              <w:top w:type="dxa" w:w="120"/>
              <w:left w:type="dxa" w:w="160"/>
              <w:bottom w:type="dxa" w:w="120"/>
              <w:right w:type="dxa" w:w="160"/>
            </w:tcMar>
          </w:tcPr>
          <w:p>
            <w:r>
              <w:rPr>
                <w:rFonts w:ascii="Courier New" w:cs="Courier New" w:eastAsia="Courier New" w:hAnsi="Courier New"/>
                <w:b/>
                <w:bCs/>
                <w:color w:val="1B5E20"/>
                <w:sz w:val="20"/>
                <w:szCs w:val="20"/>
              </w:rPr>
              <w:t xml:space="preserve">COUNT(cohort WHERE AOR_date &lt; yours AND status != eCOPR)</w:t>
            </w:r>
          </w:p>
        </w:tc>
        <w:tc>
          <w:tcPr>
            <w:tcW w:type="dxa" w:w="2800"/>
            <w:tcBorders>
              <w:top w:val="single" w:color="CCCCCC" w:sz="1"/>
              <w:left w:val="single" w:color="CCCCCC" w:sz="1"/>
              <w:bottom w:val="single" w:color="CCCCCC" w:sz="1"/>
              <w:right w:val="single" w:color="CCCCCC" w:sz="1"/>
            </w:tcBorders>
            <w:shd w:fill="FAFAFA" w:val="clear"/>
            <w:tcMar>
              <w:top w:type="dxa" w:w="120"/>
              <w:left w:type="dxa" w:w="160"/>
              <w:bottom w:type="dxa" w:w="120"/>
              <w:right w:type="dxa" w:w="160"/>
            </w:tcMar>
          </w:tcPr>
          <w:p>
            <w:r>
              <w:rPr>
                <w:rFonts w:ascii="Arial" w:cs="Arial" w:eastAsia="Arial" w:hAnsi="Arial"/>
                <w:i/>
                <w:iCs/>
                <w:color w:val="6B7280"/>
                <w:sz w:val="19"/>
                <w:szCs w:val="19"/>
              </w:rPr>
              <w:t xml:space="preserve">Recalculated every sync</w:t>
            </w:r>
          </w:p>
        </w:tc>
      </w:tr>
    </w:tbl>
    <w:p>
      <w:pPr>
        <w:spacing w:after="80" w:before="80"/>
      </w:pPr>
    </w:p>
    <w:p>
      <w:pPr>
        <w:pStyle w:val="Heading2"/>
        <w:spacing w:after="120" w:before="280"/>
      </w:pPr>
      <w:r>
        <w:rPr>
          <w:rFonts w:ascii="Arial" w:cs="Arial" w:eastAsia="Arial" w:hAnsi="Arial"/>
          <w:b/>
          <w:bCs/>
          <w:color w:val="1A2332"/>
          <w:sz w:val="28"/>
          <w:szCs w:val="28"/>
        </w:rPr>
        <w:t xml:space="preserve">6.2  PPR Window Calculation</w:t>
      </w:r>
    </w:p>
    <w:p>
      <w:pPr>
        <w:spacing w:after="80" w:before="80"/>
      </w:pPr>
      <w:r>
        <w:rPr>
          <w:rFonts w:ascii="Arial" w:cs="Arial" w:eastAsia="Arial" w:hAnsi="Arial"/>
          <w:b w:val="false"/>
          <w:bCs w:val="false"/>
          <w:i w:val="false"/>
          <w:iCs w:val="false"/>
          <w:color w:val="333333"/>
          <w:sz w:val="22"/>
          <w:szCs w:val="22"/>
        </w:rPr>
        <w:t xml:space="preserve">The estimated eCOPR window uses P25 and P75 from the recency-weighted corrected distribution: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c>
          <w:tcPr>
            <w:tcW w:type="dxa" w:w="2000"/>
            <w:tcBorders>
              <w:top w:val="single" w:color="CCCCCC" w:sz="1"/>
              <w:left w:val="single" w:color="CCCCCC" w:sz="1"/>
              <w:bottom w:val="single" w:color="CCCCCC" w:sz="1"/>
              <w:right w:val="single" w:color="CCCCCC" w:sz="1"/>
            </w:tcBorders>
            <w:shd w:fill="1A2332" w:val="clear"/>
            <w:tcMar>
              <w:top w:type="dxa" w:w="120"/>
              <w:left w:type="dxa" w:w="160"/>
              <w:bottom w:type="dxa" w:w="120"/>
              <w:right w:type="dxa" w:w="160"/>
            </w:tcMar>
          </w:tcPr>
          <w:p>
            <w:r>
              <w:rPr>
                <w:rFonts w:ascii="Arial" w:cs="Arial" w:eastAsia="Arial" w:hAnsi="Arial"/>
                <w:b/>
                <w:bCs/>
                <w:color w:val="FFFFFF"/>
                <w:sz w:val="20"/>
                <w:szCs w:val="20"/>
              </w:rPr>
              <w:t xml:space="preserve">Window Start</w:t>
            </w:r>
          </w:p>
        </w:tc>
        <w:tc>
          <w:tcPr>
            <w:tcW w:type="dxa" w:w="4560"/>
            <w:tcBorders>
              <w:top w:val="single" w:color="CCCCCC" w:sz="1"/>
              <w:left w:val="single" w:color="CCCCCC" w:sz="1"/>
              <w:bottom w:val="single" w:color="CCCCCC" w:sz="1"/>
              <w:right w:val="single" w:color="CCCCCC" w:sz="1"/>
            </w:tcBorders>
            <w:shd w:fill="EEF4ED" w:val="clear"/>
            <w:tcMar>
              <w:top w:type="dxa" w:w="120"/>
              <w:left w:type="dxa" w:w="160"/>
              <w:bottom w:type="dxa" w:w="120"/>
              <w:right w:type="dxa" w:w="160"/>
            </w:tcMar>
          </w:tcPr>
          <w:p>
            <w:r>
              <w:rPr>
                <w:rFonts w:ascii="Courier New" w:cs="Courier New" w:eastAsia="Courier New" w:hAnsi="Courier New"/>
                <w:b/>
                <w:bCs/>
                <w:color w:val="1B5E20"/>
                <w:sz w:val="20"/>
                <w:szCs w:val="20"/>
              </w:rPr>
              <w:t xml:space="preserve">AOR_date + P25 (175 days)</w:t>
            </w:r>
          </w:p>
        </w:tc>
        <w:tc>
          <w:tcPr>
            <w:tcW w:type="dxa" w:w="2800"/>
            <w:tcBorders>
              <w:top w:val="single" w:color="CCCCCC" w:sz="1"/>
              <w:left w:val="single" w:color="CCCCCC" w:sz="1"/>
              <w:bottom w:val="single" w:color="CCCCCC" w:sz="1"/>
              <w:right w:val="single" w:color="CCCCCC" w:sz="1"/>
            </w:tcBorders>
            <w:shd w:fill="FAFAFA" w:val="clear"/>
            <w:tcMar>
              <w:top w:type="dxa" w:w="120"/>
              <w:left w:type="dxa" w:w="160"/>
              <w:bottom w:type="dxa" w:w="120"/>
              <w:right w:type="dxa" w:w="160"/>
            </w:tcMar>
          </w:tcPr>
          <w:p>
            <w:r>
              <w:rPr>
                <w:rFonts w:ascii="Arial" w:cs="Arial" w:eastAsia="Arial" w:hAnsi="Arial"/>
                <w:i/>
                <w:iCs/>
                <w:color w:val="6B7280"/>
                <w:sz w:val="19"/>
                <w:szCs w:val="19"/>
              </w:rPr>
              <w:t xml:space="preserve">Best realistic case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c>
          <w:tcPr>
            <w:tcW w:type="dxa" w:w="2000"/>
            <w:tcBorders>
              <w:top w:val="single" w:color="CCCCCC" w:sz="1"/>
              <w:left w:val="single" w:color="CCCCCC" w:sz="1"/>
              <w:bottom w:val="single" w:color="CCCCCC" w:sz="1"/>
              <w:right w:val="single" w:color="CCCCCC" w:sz="1"/>
            </w:tcBorders>
            <w:shd w:fill="1A2332" w:val="clear"/>
            <w:tcMar>
              <w:top w:type="dxa" w:w="120"/>
              <w:left w:type="dxa" w:w="160"/>
              <w:bottom w:type="dxa" w:w="120"/>
              <w:right w:type="dxa" w:w="160"/>
            </w:tcMar>
          </w:tcPr>
          <w:p>
            <w:r>
              <w:rPr>
                <w:rFonts w:ascii="Arial" w:cs="Arial" w:eastAsia="Arial" w:hAnsi="Arial"/>
                <w:b/>
                <w:bCs/>
                <w:color w:val="FFFFFF"/>
                <w:sz w:val="20"/>
                <w:szCs w:val="20"/>
              </w:rPr>
              <w:t xml:space="preserve">Window End</w:t>
            </w:r>
          </w:p>
        </w:tc>
        <w:tc>
          <w:tcPr>
            <w:tcW w:type="dxa" w:w="4560"/>
            <w:tcBorders>
              <w:top w:val="single" w:color="CCCCCC" w:sz="1"/>
              <w:left w:val="single" w:color="CCCCCC" w:sz="1"/>
              <w:bottom w:val="single" w:color="CCCCCC" w:sz="1"/>
              <w:right w:val="single" w:color="CCCCCC" w:sz="1"/>
            </w:tcBorders>
            <w:shd w:fill="EEF4ED" w:val="clear"/>
            <w:tcMar>
              <w:top w:type="dxa" w:w="120"/>
              <w:left w:type="dxa" w:w="160"/>
              <w:bottom w:type="dxa" w:w="120"/>
              <w:right w:type="dxa" w:w="160"/>
            </w:tcMar>
          </w:tcPr>
          <w:p>
            <w:r>
              <w:rPr>
                <w:rFonts w:ascii="Courier New" w:cs="Courier New" w:eastAsia="Courier New" w:hAnsi="Courier New"/>
                <w:b/>
                <w:bCs/>
                <w:color w:val="1B5E20"/>
                <w:sz w:val="20"/>
                <w:szCs w:val="20"/>
              </w:rPr>
              <w:t xml:space="preserve">AOR_date + P75 (245 days)</w:t>
            </w:r>
          </w:p>
        </w:tc>
        <w:tc>
          <w:tcPr>
            <w:tcW w:type="dxa" w:w="2800"/>
            <w:tcBorders>
              <w:top w:val="single" w:color="CCCCCC" w:sz="1"/>
              <w:left w:val="single" w:color="CCCCCC" w:sz="1"/>
              <w:bottom w:val="single" w:color="CCCCCC" w:sz="1"/>
              <w:right w:val="single" w:color="CCCCCC" w:sz="1"/>
            </w:tcBorders>
            <w:shd w:fill="FAFAFA" w:val="clear"/>
            <w:tcMar>
              <w:top w:type="dxa" w:w="120"/>
              <w:left w:type="dxa" w:w="160"/>
              <w:bottom w:type="dxa" w:w="120"/>
              <w:right w:type="dxa" w:w="160"/>
            </w:tcMar>
          </w:tcPr>
          <w:p>
            <w:r>
              <w:rPr>
                <w:rFonts w:ascii="Arial" w:cs="Arial" w:eastAsia="Arial" w:hAnsi="Arial"/>
                <w:i/>
                <w:iCs/>
                <w:color w:val="6B7280"/>
                <w:sz w:val="19"/>
                <w:szCs w:val="19"/>
              </w:rPr>
              <w:t xml:space="preserve">Upper bound of likely range</w:t>
            </w:r>
          </w:p>
        </w:tc>
      </w:tr>
    </w:tbl>
    <w:p>
      <w:pPr>
        <w:spacing w:after="80" w:before="80"/>
      </w:pPr>
    </w:p>
    <w:p>
      <w:pPr>
        <w:pStyle w:val="Heading2"/>
        <w:spacing w:after="120" w:before="280"/>
      </w:pPr>
      <w:r>
        <w:rPr>
          <w:rFonts w:ascii="Arial" w:cs="Arial" w:eastAsia="Arial" w:hAnsi="Arial"/>
          <w:b/>
          <w:bCs/>
          <w:color w:val="1A2332"/>
          <w:sz w:val="28"/>
          <w:szCs w:val="28"/>
        </w:rPr>
        <w:t xml:space="preserve">6.3  P1 Portal Invite Estimate</w:t>
      </w:r>
    </w:p>
    <w:p>
      <w:pPr>
        <w:spacing w:after="80" w:before="80"/>
      </w:pPr>
      <w:r>
        <w:rPr>
          <w:rFonts w:ascii="Arial" w:cs="Arial" w:eastAsia="Arial" w:hAnsi="Arial"/>
          <w:b w:val="false"/>
          <w:bCs w:val="false"/>
          <w:i w:val="false"/>
          <w:iCs w:val="false"/>
          <w:color w:val="333333"/>
          <w:sz w:val="22"/>
          <w:szCs w:val="22"/>
        </w:rPr>
        <w:t xml:space="preserve">P1 estimates use only 2026 P1 data (n=74) — this is not recency-corrected because P1 dates are observed directly, not subject to survival bias. The 2026 P1 distribution: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Percentile</w:t>
            </w:r>
          </w:p>
        </w:tc>
        <w:tc>
          <w:tcPr>
            <w:tcW w:type="dxa" w:w="312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Days from AOR</w:t>
            </w:r>
          </w:p>
        </w:tc>
        <w:tc>
          <w:tcPr>
            <w:tcW w:type="dxa" w:w="312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Approx date for Mar 4 AOR</w:t>
            </w:r>
          </w:p>
        </w:tc>
      </w:tr>
      <w:tr>
        <w:tc>
          <w:tcPr>
            <w:tcW w:type="dxa" w:w="312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color w:val="333333"/>
                <w:sz w:val="20"/>
                <w:szCs w:val="20"/>
              </w:rPr>
              <w:t xml:space="preserve">P25 (early)</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~98 days</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Jun 10, 2026</w:t>
            </w:r>
          </w:p>
        </w:tc>
      </w:tr>
      <w:tr>
        <w:tc>
          <w:tcPr>
            <w:tcW w:type="dxa" w:w="312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color w:val="333333"/>
                <w:sz w:val="20"/>
                <w:szCs w:val="20"/>
              </w:rPr>
              <w:t xml:space="preserve">Median</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~104 days</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Jun 16, 2026</w:t>
            </w:r>
          </w:p>
        </w:tc>
      </w:tr>
      <w:tr>
        <w:tc>
          <w:tcPr>
            <w:tcW w:type="dxa" w:w="312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color w:val="333333"/>
                <w:sz w:val="20"/>
                <w:szCs w:val="20"/>
              </w:rPr>
              <w:t xml:space="preserve">P75 (late)</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~117 days</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Jun 29, 2026</w:t>
            </w:r>
          </w:p>
        </w:tc>
      </w:tr>
    </w:tbl>
    <w:p>
      <w:pPr>
        <w:spacing w:after="80" w:before="80"/>
      </w:pPr>
    </w:p>
    <w:p>
      <w:pPr>
        <w:pStyle w:val="Heading2"/>
        <w:spacing w:after="120" w:before="280"/>
      </w:pPr>
      <w:r>
        <w:rPr>
          <w:rFonts w:ascii="Arial" w:cs="Arial" w:eastAsia="Arial" w:hAnsi="Arial"/>
          <w:b/>
          <w:bCs/>
          <w:color w:val="1A2332"/>
          <w:sz w:val="28"/>
          <w:szCs w:val="28"/>
        </w:rPr>
        <w:t xml:space="preserve">6.4  Journey % 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c>
          <w:tcPr>
            <w:tcW w:type="dxa" w:w="2000"/>
            <w:tcBorders>
              <w:top w:val="single" w:color="CCCCCC" w:sz="1"/>
              <w:left w:val="single" w:color="CCCCCC" w:sz="1"/>
              <w:bottom w:val="single" w:color="CCCCCC" w:sz="1"/>
              <w:right w:val="single" w:color="CCCCCC" w:sz="1"/>
            </w:tcBorders>
            <w:shd w:fill="1A2332" w:val="clear"/>
            <w:tcMar>
              <w:top w:type="dxa" w:w="120"/>
              <w:left w:type="dxa" w:w="160"/>
              <w:bottom w:type="dxa" w:w="120"/>
              <w:right w:type="dxa" w:w="160"/>
            </w:tcMar>
          </w:tcPr>
          <w:p>
            <w:r>
              <w:rPr>
                <w:rFonts w:ascii="Arial" w:cs="Arial" w:eastAsia="Arial" w:hAnsi="Arial"/>
                <w:b/>
                <w:bCs/>
                <w:color w:val="FFFFFF"/>
                <w:sz w:val="20"/>
                <w:szCs w:val="20"/>
              </w:rPr>
              <w:t xml:space="preserve">Journey %</w:t>
            </w:r>
          </w:p>
        </w:tc>
        <w:tc>
          <w:tcPr>
            <w:tcW w:type="dxa" w:w="4560"/>
            <w:tcBorders>
              <w:top w:val="single" w:color="CCCCCC" w:sz="1"/>
              <w:left w:val="single" w:color="CCCCCC" w:sz="1"/>
              <w:bottom w:val="single" w:color="CCCCCC" w:sz="1"/>
              <w:right w:val="single" w:color="CCCCCC" w:sz="1"/>
            </w:tcBorders>
            <w:shd w:fill="EEF4ED" w:val="clear"/>
            <w:tcMar>
              <w:top w:type="dxa" w:w="120"/>
              <w:left w:type="dxa" w:w="160"/>
              <w:bottom w:type="dxa" w:w="120"/>
              <w:right w:type="dxa" w:w="160"/>
            </w:tcMar>
          </w:tcPr>
          <w:p>
            <w:r>
              <w:rPr>
                <w:rFonts w:ascii="Courier New" w:cs="Courier New" w:eastAsia="Courier New" w:hAnsi="Courier New"/>
                <w:b/>
                <w:bCs/>
                <w:color w:val="1B5E20"/>
                <w:sz w:val="20"/>
                <w:szCs w:val="20"/>
              </w:rPr>
              <w:t xml:space="preserve">(today - AOR_date) / 210 × 100</w:t>
            </w:r>
          </w:p>
        </w:tc>
        <w:tc>
          <w:tcPr>
            <w:tcW w:type="dxa" w:w="2800"/>
            <w:tcBorders>
              <w:top w:val="single" w:color="CCCCCC" w:sz="1"/>
              <w:left w:val="single" w:color="CCCCCC" w:sz="1"/>
              <w:bottom w:val="single" w:color="CCCCCC" w:sz="1"/>
              <w:right w:val="single" w:color="CCCCCC" w:sz="1"/>
            </w:tcBorders>
            <w:shd w:fill="FAFAFA" w:val="clear"/>
            <w:tcMar>
              <w:top w:type="dxa" w:w="120"/>
              <w:left w:type="dxa" w:w="160"/>
              <w:bottom w:type="dxa" w:w="120"/>
              <w:right w:type="dxa" w:w="160"/>
            </w:tcMar>
          </w:tcPr>
          <w:p>
            <w:r>
              <w:rPr>
                <w:rFonts w:ascii="Arial" w:cs="Arial" w:eastAsia="Arial" w:hAnsi="Arial"/>
                <w:i/>
                <w:iCs/>
                <w:color w:val="6B7280"/>
                <w:sz w:val="19"/>
                <w:szCs w:val="19"/>
              </w:rPr>
              <w:t xml:space="preserve">Uses recency-adjusted median</w:t>
            </w:r>
          </w:p>
        </w:tc>
      </w:tr>
    </w:tbl>
    <w:p>
      <w:pPr>
        <w:spacing w:after="80" w:before="80"/>
      </w:pPr>
    </w:p>
    <w:p>
      <w:pPr>
        <w:spacing w:after="80" w:before="80"/>
      </w:pPr>
      <w:r>
        <w:rPr>
          <w:rFonts w:ascii="Arial" w:cs="Arial" w:eastAsia="Arial" w:hAnsi="Arial"/>
          <w:b w:val="false"/>
          <w:bCs w:val="false"/>
          <w:i/>
          <w:iCs/>
          <w:color w:val="333333"/>
          <w:sz w:val="22"/>
          <w:szCs w:val="22"/>
        </w:rPr>
        <w:t xml:space="preserve">For a March 4, 2026 applicant on May 16, 2026: (73 / 210) × 100 = 34.8%. Previously shown as 59% using the incorrect 123-day median.</w:t>
      </w:r>
    </w:p>
    <w:p>
      <w:pPr>
        <w:spacing w:after="80" w:before="80"/>
      </w:pPr>
    </w:p>
    <w:p>
      <w:pPr>
        <w:pBdr>
          <w:bottom w:val="single" w:color="DDDDDD" w:sz="4" w:space="1"/>
        </w:pBdr>
        <w:spacing w:after="160" w:before="160"/>
      </w:pPr>
    </w:p>
    <w:p>
      <w:pPr>
        <w:pStyle w:val="Heading1"/>
        <w:spacing w:after="160" w:before="360"/>
      </w:pPr>
      <w:r>
        <w:rPr>
          <w:rFonts w:ascii="Arial" w:cs="Arial" w:eastAsia="Arial" w:hAnsi="Arial"/>
          <w:b/>
          <w:bCs/>
          <w:color w:val="1A2332"/>
          <w:sz w:val="36"/>
          <w:szCs w:val="36"/>
        </w:rPr>
        <w:t xml:space="preserve">7. Weekly Sync Logic</w:t>
      </w:r>
    </w:p>
    <w:p>
      <w:pPr>
        <w:spacing w:after="80" w:before="80"/>
      </w:pPr>
      <w:r>
        <w:rPr>
          <w:rFonts w:ascii="Arial" w:cs="Arial" w:eastAsia="Arial" w:hAnsi="Arial"/>
          <w:b w:val="false"/>
          <w:bCs w:val="false"/>
          <w:i w:val="false"/>
          <w:iCs w:val="false"/>
          <w:color w:val="333333"/>
          <w:sz w:val="22"/>
          <w:szCs w:val="22"/>
        </w:rPr>
        <w:t xml:space="preserve">Primary key: Case #. Run every week against myimmitracker.com/en/ca/trackers/cec-express-entry-tracker.</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12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12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Key rule</w:t>
            </w:r>
          </w:p>
        </w:tc>
      </w:tr>
      <w:tr>
        <w:tc>
          <w:tcPr>
            <w:tcW w:type="dxa" w:w="312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Scrape myimmitracker</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Full CEC tracker export</w:t>
            </w:r>
          </w:p>
        </w:tc>
      </w:tr>
      <w:tr>
        <w:tc>
          <w:tcPr>
            <w:tcW w:type="dxa" w:w="312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Match on Case #</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Primary key — never use Username</w:t>
            </w:r>
          </w:p>
        </w:tc>
      </w:tr>
      <w:tr>
        <w:tc>
          <w:tcPr>
            <w:tcW w:type="dxa" w:w="312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INSERT new Case #</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Append new rows</w:t>
            </w:r>
          </w:p>
        </w:tc>
      </w:tr>
      <w:tr>
        <w:tc>
          <w:tcPr>
            <w:tcW w:type="dxa" w:w="312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UPDATE existing Case #</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Field-level rules apply</w:t>
            </w:r>
          </w:p>
        </w:tc>
      </w:tr>
      <w:tr>
        <w:tc>
          <w:tcPr>
            <w:tcW w:type="dxa" w:w="312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color w:val="333333"/>
                <w:sz w:val="20"/>
                <w:szCs w:val="20"/>
              </w:rPr>
              <w:t xml:space="preserve">5</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FLAG disappeared Case #</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Set Inactive — never delete</w:t>
            </w:r>
          </w:p>
        </w:tc>
      </w:tr>
      <w:tr>
        <w:tc>
          <w:tcPr>
            <w:tcW w:type="dxa" w:w="312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color w:val="333333"/>
                <w:sz w:val="20"/>
                <w:szCs w:val="20"/>
              </w:rPr>
              <w:t xml:space="preserve">6</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Recalculate estimates</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Apply recency-weighted algorithm to eligible cohorts (AOR &gt;= cutoff_date)</w:t>
            </w:r>
          </w:p>
        </w:tc>
      </w:tr>
      <w:tr>
        <w:tc>
          <w:tcPr>
            <w:tcW w:type="dxa" w:w="312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color w:val="333333"/>
                <w:sz w:val="20"/>
                <w:szCs w:val="20"/>
              </w:rPr>
              <w:t xml:space="preserve">7</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Survival bias correction</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Impute completion for still-waiting applicants within eligible window</w:t>
            </w:r>
          </w:p>
        </w:tc>
      </w:tr>
      <w:tr>
        <w:tc>
          <w:tcPr>
            <w:tcW w:type="dxa" w:w="312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color w:val="333333"/>
                <w:sz w:val="20"/>
                <w:szCs w:val="20"/>
              </w:rPr>
              <w:t xml:space="preserve">8</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Validate</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Check AOR dates not overwritten, no milestone dates regressed</w:t>
            </w:r>
          </w:p>
        </w:tc>
      </w:tr>
    </w:tbl>
    <w:p>
      <w:pPr>
        <w:spacing w:after="80" w:before="80"/>
      </w:pPr>
    </w:p>
    <w:p>
      <w:pPr>
        <w:pStyle w:val="Heading2"/>
        <w:spacing w:after="120" w:before="280"/>
      </w:pPr>
      <w:r>
        <w:rPr>
          <w:rFonts w:ascii="Arial" w:cs="Arial" w:eastAsia="Arial" w:hAnsi="Arial"/>
          <w:b/>
          <w:bCs/>
          <w:color w:val="1A2332"/>
          <w:sz w:val="28"/>
          <w:szCs w:val="28"/>
        </w:rPr>
        <w:t xml:space="preserve">7.1  Field Update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468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Update Policy</w:t>
            </w:r>
          </w:p>
        </w:tc>
      </w:tr>
      <w:tr>
        <w:tc>
          <w:tcPr>
            <w:tcW w:type="dxa" w:w="468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color w:val="333333"/>
                <w:sz w:val="20"/>
                <w:szCs w:val="20"/>
              </w:rPr>
              <w:t xml:space="preserve">Case #</w:t>
            </w:r>
          </w:p>
        </w:tc>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NEVER overwrite — immutable primary key</w:t>
            </w:r>
          </w:p>
        </w:tc>
      </w:tr>
      <w:tr>
        <w:tc>
          <w:tcPr>
            <w:tcW w:type="dxa" w:w="468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color w:val="333333"/>
                <w:sz w:val="20"/>
                <w:szCs w:val="20"/>
              </w:rPr>
              <w:t xml:space="preserve">AOR Received</w:t>
            </w:r>
          </w:p>
        </w:tc>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NEVER overwrite once set — core timeline anchor</w:t>
            </w:r>
          </w:p>
        </w:tc>
      </w:tr>
      <w:tr>
        <w:tc>
          <w:tcPr>
            <w:tcW w:type="dxa" w:w="468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color w:val="333333"/>
                <w:sz w:val="20"/>
                <w:szCs w:val="20"/>
              </w:rPr>
              <w:t xml:space="preserve">Current Status</w:t>
            </w:r>
          </w:p>
        </w:tc>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ALWAYS overwrite with latest source value</w:t>
            </w:r>
          </w:p>
        </w:tc>
      </w:tr>
      <w:tr>
        <w:tc>
          <w:tcPr>
            <w:tcW w:type="dxa" w:w="468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color w:val="333333"/>
                <w:sz w:val="20"/>
                <w:szCs w:val="20"/>
              </w:rPr>
              <w:t xml:space="preserve">All milestone dates (BIL, Biometrics, BG Check, Medical, P1, P2, eCOPR)</w:t>
            </w:r>
          </w:p>
        </w:tc>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Take EARLIEST non-null — never regress a date</w:t>
            </w:r>
          </w:p>
        </w:tc>
      </w:tr>
      <w:tr>
        <w:tc>
          <w:tcPr>
            <w:tcW w:type="dxa" w:w="468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color w:val="333333"/>
                <w:sz w:val="20"/>
                <w:szCs w:val="20"/>
              </w:rPr>
              <w:t xml:space="preserve">CRS Score / NOC Code</w:t>
            </w:r>
          </w:p>
        </w:tc>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Update if blank → filled; keep existing if already populated</w:t>
            </w:r>
          </w:p>
        </w:tc>
      </w:tr>
      <w:tr>
        <w:tc>
          <w:tcPr>
            <w:tcW w:type="dxa" w:w="468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color w:val="333333"/>
                <w:sz w:val="20"/>
                <w:szCs w:val="20"/>
              </w:rPr>
              <w:t xml:space="preserve">Username / Country</w:t>
            </w:r>
          </w:p>
        </w:tc>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UPDATE if changed in source</w:t>
            </w:r>
          </w:p>
        </w:tc>
      </w:tr>
    </w:tbl>
    <w:p>
      <w:pPr>
        <w:spacing w:after="80" w:before="80"/>
      </w:pPr>
    </w:p>
    <w:p>
      <w:pPr>
        <w:pBdr>
          <w:bottom w:val="single" w:color="DDDDDD" w:sz="4" w:space="1"/>
        </w:pBdr>
        <w:spacing w:after="160" w:before="160"/>
      </w:pPr>
    </w:p>
    <w:p>
      <w:pPr>
        <w:pStyle w:val="Heading1"/>
        <w:spacing w:after="160" w:before="360"/>
      </w:pPr>
      <w:r>
        <w:rPr>
          <w:rFonts w:ascii="Arial" w:cs="Arial" w:eastAsia="Arial" w:hAnsi="Arial"/>
          <w:b/>
          <w:bCs/>
          <w:color w:val="1A2332"/>
          <w:sz w:val="36"/>
          <w:szCs w:val="36"/>
        </w:rPr>
        <w:t xml:space="preserve">8. Worked Example: March 4, 2026 AOR</w:t>
      </w:r>
    </w:p>
    <w:p>
      <w:pPr>
        <w:spacing w:after="80" w:before="80"/>
      </w:pPr>
      <w:r>
        <w:rPr>
          <w:rFonts w:ascii="Arial" w:cs="Arial" w:eastAsia="Arial" w:hAnsi="Arial"/>
          <w:b w:val="false"/>
          <w:bCs w:val="false"/>
          <w:i w:val="false"/>
          <w:iCs w:val="false"/>
          <w:color w:val="333333"/>
          <w:sz w:val="22"/>
          <w:szCs w:val="22"/>
        </w:rPr>
        <w:t xml:space="preserve">ITA: Jan 7, 2026.  AOR: Mar 4, 2026.  BIL: May 8, 2026 (Day 65 — late).  Today: May 16, 2026 (Day 73).</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34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Old Algorithm (incorrect)</w:t>
            </w:r>
          </w:p>
        </w:tc>
        <w:tc>
          <w:tcPr>
            <w:tcW w:type="dxa" w:w="234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New Algorithm (v2.0)</w:t>
            </w:r>
          </w:p>
        </w:tc>
        <w:tc>
          <w:tcPr>
            <w:tcW w:type="dxa" w:w="234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Difference</w:t>
            </w:r>
          </w:p>
        </w:tc>
      </w:tr>
      <w:tr>
        <w:tc>
          <w:tcPr>
            <w:tcW w:type="dxa" w:w="234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color w:val="333333"/>
                <w:sz w:val="20"/>
                <w:szCs w:val="20"/>
              </w:rPr>
              <w:t xml:space="preserve">Data used</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All cohorts Aug 2024+</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cutoff_date+ (dynamic — Jul 5, 2025 as of May 2026)</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Excludes stale era</w:t>
            </w:r>
          </w:p>
        </w:tc>
      </w:tr>
      <w:tr>
        <w:tc>
          <w:tcPr>
            <w:tcW w:type="dxa" w:w="234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color w:val="333333"/>
                <w:sz w:val="20"/>
                <w:szCs w:val="20"/>
              </w:rPr>
              <w:t xml:space="preserve">Survival bias correction</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None — ignored still-waiting</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Applied — imputes +30d for waiting</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Critical fix</w:t>
            </w:r>
          </w:p>
        </w:tc>
      </w:tr>
      <w:tr>
        <w:tc>
          <w:tcPr>
            <w:tcW w:type="dxa" w:w="234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bCs/>
                <w:color w:val="333333"/>
                <w:sz w:val="20"/>
                <w:szCs w:val="20"/>
              </w:rPr>
              <w:t xml:space="preserve">Median (days)</w:t>
            </w:r>
          </w:p>
        </w:tc>
        <w:tc>
          <w:tcPr>
            <w:tcW w:type="dxa" w:w="234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bCs/>
                <w:color w:val="333333"/>
                <w:sz w:val="20"/>
                <w:szCs w:val="20"/>
              </w:rPr>
              <w:t xml:space="preserve">123 days</w:t>
            </w:r>
          </w:p>
        </w:tc>
        <w:tc>
          <w:tcPr>
            <w:tcW w:type="dxa" w:w="234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bCs/>
                <w:color w:val="333333"/>
                <w:sz w:val="20"/>
                <w:szCs w:val="20"/>
              </w:rPr>
              <w:t xml:space="preserve">210 days (~7 months)</w:t>
            </w:r>
          </w:p>
        </w:tc>
        <w:tc>
          <w:tcPr>
            <w:tcW w:type="dxa" w:w="234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bCs/>
                <w:color w:val="333333"/>
                <w:sz w:val="20"/>
                <w:szCs w:val="20"/>
              </w:rPr>
              <w:t xml:space="preserve">+87 days</w:t>
            </w:r>
          </w:p>
        </w:tc>
      </w:tr>
      <w:tr>
        <w:tc>
          <w:tcPr>
            <w:tcW w:type="dxa" w:w="234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color w:val="333333"/>
                <w:sz w:val="20"/>
                <w:szCs w:val="20"/>
              </w:rPr>
              <w:t xml:space="preserve">Journey %</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59%</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34.8%</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More realistic</w:t>
            </w:r>
          </w:p>
        </w:tc>
      </w:tr>
      <w:tr>
        <w:tc>
          <w:tcPr>
            <w:tcW w:type="dxa" w:w="234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color w:val="333333"/>
                <w:sz w:val="20"/>
                <w:szCs w:val="20"/>
              </w:rPr>
              <w:t xml:space="preserve">P1 estimate</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Jun 11–21</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Jun 10–29 (same, 2026 data)</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Minimal change</w:t>
            </w:r>
          </w:p>
        </w:tc>
      </w:tr>
      <w:tr>
        <w:tc>
          <w:tcPr>
            <w:tcW w:type="dxa" w:w="234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color w:val="333333"/>
                <w:sz w:val="20"/>
                <w:szCs w:val="20"/>
              </w:rPr>
              <w:t xml:space="preserve">eCOPR P25</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Jun 18</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Aug 26</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+2.3 months</w:t>
            </w:r>
          </w:p>
        </w:tc>
      </w:tr>
      <w:tr>
        <w:tc>
          <w:tcPr>
            <w:tcW w:type="dxa" w:w="234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color w:val="333333"/>
                <w:sz w:val="20"/>
                <w:szCs w:val="20"/>
              </w:rPr>
              <w:t xml:space="preserve">eCOPR median</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Jul 5</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Sep 30</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+2.9 months</w:t>
            </w:r>
          </w:p>
        </w:tc>
      </w:tr>
      <w:tr>
        <w:tc>
          <w:tcPr>
            <w:tcW w:type="dxa" w:w="234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color w:val="333333"/>
                <w:sz w:val="20"/>
                <w:szCs w:val="20"/>
              </w:rPr>
              <w:t xml:space="preserve">eCOPR P75</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Jul 26</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Nov 4</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+3.3 months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8E1" w:val="clear"/>
            <w:tcMar>
              <w:top w:type="dxa" w:w="160"/>
              <w:left w:type="dxa" w:w="240"/>
              <w:bottom w:type="dxa" w:w="160"/>
              <w:right w:type="dxa" w:w="240"/>
            </w:tcMar>
          </w:tcPr>
          <w:p>
            <w:r>
              <w:rPr>
                <w:rFonts w:ascii="Arial" w:cs="Arial" w:eastAsia="Arial" w:hAnsi="Arial"/>
                <w:b/>
                <w:bCs/>
                <w:color w:val="1A2332"/>
                <w:sz w:val="22"/>
                <w:szCs w:val="22"/>
              </w:rPr>
              <w:t xml:space="preserve">Late BIL flag (Day 65)</w:t>
            </w:r>
          </w:p>
          <w:p>
            <w:pPr>
              <w:spacing w:after="0" w:before="40"/>
            </w:pPr>
            <w:r>
              <w:rPr>
                <w:rFonts w:ascii="Arial" w:cs="Arial" w:eastAsia="Arial" w:hAnsi="Arial"/>
                <w:color w:val="444444"/>
                <w:sz w:val="21"/>
                <w:szCs w:val="21"/>
              </w:rPr>
              <w:t xml:space="preserve">This applicant's BIL arrived at Day 65 from AOR, compared to the typical same-day or next-day pattern. In the dataset, applicants with BIL ≥ 60 days have a corrected median eCOPR of ~153 days (old methodology) or approximately 240+ days under the recency-weighted algorithm. This suggests potential additional processing complexity and should be treated as a flag for a potentially longer timeline.</w:t>
            </w:r>
          </w:p>
        </w:tc>
      </w:tr>
    </w:tbl>
    <w:p>
      <w:pPr>
        <w:spacing w:after="80" w:before="80"/>
      </w:pPr>
    </w:p>
    <w:p>
      <w:pPr>
        <w:pBdr>
          <w:bottom w:val="single" w:color="DDDDDD" w:sz="4" w:space="1"/>
        </w:pBdr>
        <w:spacing w:after="160" w:before="160"/>
      </w:pPr>
    </w:p>
    <w:p>
      <w:pPr>
        <w:pStyle w:val="Heading1"/>
        <w:spacing w:after="160" w:before="360"/>
      </w:pPr>
      <w:r>
        <w:rPr>
          <w:rFonts w:ascii="Arial" w:cs="Arial" w:eastAsia="Arial" w:hAnsi="Arial"/>
          <w:b/>
          <w:bCs/>
          <w:color w:val="1A2332"/>
          <w:sz w:val="36"/>
          <w:szCs w:val="36"/>
        </w:rPr>
        <w:t xml:space="preserve">8b. Dynamic Eligibility Cutoff Date</w:t>
      </w:r>
    </w:p>
    <w:p>
      <w:pPr>
        <w:spacing w:after="80" w:before="80"/>
      </w:pPr>
      <w:r>
        <w:rPr>
          <w:rFonts w:ascii="Arial" w:cs="Arial" w:eastAsia="Arial" w:hAnsi="Arial"/>
          <w:b w:val="false"/>
          <w:bCs w:val="false"/>
          <w:i w:val="false"/>
          <w:iCs w:val="false"/>
          <w:color w:val="333333"/>
          <w:sz w:val="22"/>
          <w:szCs w:val="22"/>
        </w:rPr>
        <w:t xml:space="preserve">The eligibility cutoff date determines which AOR cohorts feed the algorithm. It must never be hardcoded. Instead it is computed on every weekly sync from a single formula tied to the current estimated median.</w:t>
      </w:r>
    </w:p>
    <w:p>
      <w:pPr>
        <w:spacing w:after="80" w:before="80"/>
      </w:pPr>
    </w:p>
    <w:p>
      <w:pPr>
        <w:pStyle w:val="Heading2"/>
        <w:spacing w:after="120" w:before="280"/>
      </w:pPr>
      <w:r>
        <w:rPr>
          <w:rFonts w:ascii="Arial" w:cs="Arial" w:eastAsia="Arial" w:hAnsi="Arial"/>
          <w:b/>
          <w:bCs/>
          <w:color w:val="1A2332"/>
          <w:sz w:val="28"/>
          <w:szCs w:val="28"/>
        </w:rPr>
        <w:t xml:space="preserve">8b.1  The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c>
          <w:tcPr>
            <w:tcW w:type="dxa" w:w="2000"/>
            <w:tcBorders>
              <w:top w:val="single" w:color="CCCCCC" w:sz="1"/>
              <w:left w:val="single" w:color="CCCCCC" w:sz="1"/>
              <w:bottom w:val="single" w:color="CCCCCC" w:sz="1"/>
              <w:right w:val="single" w:color="CCCCCC" w:sz="1"/>
            </w:tcBorders>
            <w:shd w:fill="1A2332" w:val="clear"/>
            <w:tcMar>
              <w:top w:type="dxa" w:w="120"/>
              <w:left w:type="dxa" w:w="160"/>
              <w:bottom w:type="dxa" w:w="120"/>
              <w:right w:type="dxa" w:w="160"/>
            </w:tcMar>
          </w:tcPr>
          <w:p>
            <w:r>
              <w:rPr>
                <w:rFonts w:ascii="Arial" w:cs="Arial" w:eastAsia="Arial" w:hAnsi="Arial"/>
                <w:b/>
                <w:bCs/>
                <w:color w:val="FFFFFF"/>
                <w:sz w:val="20"/>
                <w:szCs w:val="20"/>
              </w:rPr>
              <w:t xml:space="preserve">Raw lookback</w:t>
            </w:r>
          </w:p>
        </w:tc>
        <w:tc>
          <w:tcPr>
            <w:tcW w:type="dxa" w:w="4560"/>
            <w:tcBorders>
              <w:top w:val="single" w:color="CCCCCC" w:sz="1"/>
              <w:left w:val="single" w:color="CCCCCC" w:sz="1"/>
              <w:bottom w:val="single" w:color="CCCCCC" w:sz="1"/>
              <w:right w:val="single" w:color="CCCCCC" w:sz="1"/>
            </w:tcBorders>
            <w:shd w:fill="EEF4ED" w:val="clear"/>
            <w:tcMar>
              <w:top w:type="dxa" w:w="120"/>
              <w:left w:type="dxa" w:w="160"/>
              <w:bottom w:type="dxa" w:w="120"/>
              <w:right w:type="dxa" w:w="160"/>
            </w:tcMar>
          </w:tcPr>
          <w:p>
            <w:r>
              <w:rPr>
                <w:rFonts w:ascii="Courier New" w:cs="Courier New" w:eastAsia="Courier New" w:hAnsi="Courier New"/>
                <w:b/>
                <w:bCs/>
                <w:color w:val="1B5E20"/>
                <w:sz w:val="20"/>
                <w:szCs w:val="20"/>
              </w:rPr>
              <w:t xml:space="preserve">1.5 × stored_median_days</w:t>
            </w:r>
          </w:p>
        </w:tc>
        <w:tc>
          <w:tcPr>
            <w:tcW w:type="dxa" w:w="2800"/>
            <w:tcBorders>
              <w:top w:val="single" w:color="CCCCCC" w:sz="1"/>
              <w:left w:val="single" w:color="CCCCCC" w:sz="1"/>
              <w:bottom w:val="single" w:color="CCCCCC" w:sz="1"/>
              <w:right w:val="single" w:color="CCCCCC" w:sz="1"/>
            </w:tcBorders>
            <w:shd w:fill="FAFAFA" w:val="clear"/>
            <w:tcMar>
              <w:top w:type="dxa" w:w="120"/>
              <w:left w:type="dxa" w:w="160"/>
              <w:bottom w:type="dxa" w:w="120"/>
              <w:right w:type="dxa" w:w="160"/>
            </w:tcMar>
          </w:tcPr>
          <w:p>
            <w:r>
              <w:rPr>
                <w:rFonts w:ascii="Arial" w:cs="Arial" w:eastAsia="Arial" w:hAnsi="Arial"/>
                <w:i/>
                <w:iCs/>
                <w:color w:val="6B7280"/>
                <w:sz w:val="19"/>
                <w:szCs w:val="19"/>
              </w:rPr>
              <w:t xml:space="preserve">e.g. 1.5 × 210 = 315 days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c>
          <w:tcPr>
            <w:tcW w:type="dxa" w:w="2000"/>
            <w:tcBorders>
              <w:top w:val="single" w:color="CCCCCC" w:sz="1"/>
              <w:left w:val="single" w:color="CCCCCC" w:sz="1"/>
              <w:bottom w:val="single" w:color="CCCCCC" w:sz="1"/>
              <w:right w:val="single" w:color="CCCCCC" w:sz="1"/>
            </w:tcBorders>
            <w:shd w:fill="1A2332" w:val="clear"/>
            <w:tcMar>
              <w:top w:type="dxa" w:w="120"/>
              <w:left w:type="dxa" w:w="160"/>
              <w:bottom w:type="dxa" w:w="120"/>
              <w:right w:type="dxa" w:w="160"/>
            </w:tcMar>
          </w:tcPr>
          <w:p>
            <w:r>
              <w:rPr>
                <w:rFonts w:ascii="Arial" w:cs="Arial" w:eastAsia="Arial" w:hAnsi="Arial"/>
                <w:b/>
                <w:bCs/>
                <w:color w:val="FFFFFF"/>
                <w:sz w:val="20"/>
                <w:szCs w:val="20"/>
              </w:rPr>
              <w:t xml:space="preserve">Clamped lookback</w:t>
            </w:r>
          </w:p>
        </w:tc>
        <w:tc>
          <w:tcPr>
            <w:tcW w:type="dxa" w:w="4560"/>
            <w:tcBorders>
              <w:top w:val="single" w:color="CCCCCC" w:sz="1"/>
              <w:left w:val="single" w:color="CCCCCC" w:sz="1"/>
              <w:bottom w:val="single" w:color="CCCCCC" w:sz="1"/>
              <w:right w:val="single" w:color="CCCCCC" w:sz="1"/>
            </w:tcBorders>
            <w:shd w:fill="EEF4ED" w:val="clear"/>
            <w:tcMar>
              <w:top w:type="dxa" w:w="120"/>
              <w:left w:type="dxa" w:w="160"/>
              <w:bottom w:type="dxa" w:w="120"/>
              <w:right w:type="dxa" w:w="160"/>
            </w:tcMar>
          </w:tcPr>
          <w:p>
            <w:r>
              <w:rPr>
                <w:rFonts w:ascii="Courier New" w:cs="Courier New" w:eastAsia="Courier New" w:hAnsi="Courier New"/>
                <w:b/>
                <w:bCs/>
                <w:color w:val="1B5E20"/>
                <w:sz w:val="20"/>
                <w:szCs w:val="20"/>
              </w:rPr>
              <w:t xml:space="preserve">clamp(raw_lookback, min=270, max=547)</w:t>
            </w:r>
          </w:p>
        </w:tc>
        <w:tc>
          <w:tcPr>
            <w:tcW w:type="dxa" w:w="2800"/>
            <w:tcBorders>
              <w:top w:val="single" w:color="CCCCCC" w:sz="1"/>
              <w:left w:val="single" w:color="CCCCCC" w:sz="1"/>
              <w:bottom w:val="single" w:color="CCCCCC" w:sz="1"/>
              <w:right w:val="single" w:color="CCCCCC" w:sz="1"/>
            </w:tcBorders>
            <w:shd w:fill="FAFAFA" w:val="clear"/>
            <w:tcMar>
              <w:top w:type="dxa" w:w="120"/>
              <w:left w:type="dxa" w:w="160"/>
              <w:bottom w:type="dxa" w:w="120"/>
              <w:right w:type="dxa" w:w="160"/>
            </w:tcMar>
          </w:tcPr>
          <w:p>
            <w:r>
              <w:rPr>
                <w:rFonts w:ascii="Arial" w:cs="Arial" w:eastAsia="Arial" w:hAnsi="Arial"/>
                <w:i/>
                <w:iCs/>
                <w:color w:val="6B7280"/>
                <w:sz w:val="19"/>
                <w:szCs w:val="19"/>
              </w:rPr>
              <w:t xml:space="preserve">9-month floor · 18-month ceiling</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c>
          <w:tcPr>
            <w:tcW w:type="dxa" w:w="2000"/>
            <w:tcBorders>
              <w:top w:val="single" w:color="CCCCCC" w:sz="1"/>
              <w:left w:val="single" w:color="CCCCCC" w:sz="1"/>
              <w:bottom w:val="single" w:color="CCCCCC" w:sz="1"/>
              <w:right w:val="single" w:color="CCCCCC" w:sz="1"/>
            </w:tcBorders>
            <w:shd w:fill="1A2332" w:val="clear"/>
            <w:tcMar>
              <w:top w:type="dxa" w:w="120"/>
              <w:left w:type="dxa" w:w="160"/>
              <w:bottom w:type="dxa" w:w="120"/>
              <w:right w:type="dxa" w:w="160"/>
            </w:tcMar>
          </w:tcPr>
          <w:p>
            <w:r>
              <w:rPr>
                <w:rFonts w:ascii="Arial" w:cs="Arial" w:eastAsia="Arial" w:hAnsi="Arial"/>
                <w:b/>
                <w:bCs/>
                <w:color w:val="FFFFFF"/>
                <w:sz w:val="20"/>
                <w:szCs w:val="20"/>
              </w:rPr>
              <w:t xml:space="preserve">Cutoff date</w:t>
            </w:r>
          </w:p>
        </w:tc>
        <w:tc>
          <w:tcPr>
            <w:tcW w:type="dxa" w:w="4560"/>
            <w:tcBorders>
              <w:top w:val="single" w:color="CCCCCC" w:sz="1"/>
              <w:left w:val="single" w:color="CCCCCC" w:sz="1"/>
              <w:bottom w:val="single" w:color="CCCCCC" w:sz="1"/>
              <w:right w:val="single" w:color="CCCCCC" w:sz="1"/>
            </w:tcBorders>
            <w:shd w:fill="EEF4ED" w:val="clear"/>
            <w:tcMar>
              <w:top w:type="dxa" w:w="120"/>
              <w:left w:type="dxa" w:w="160"/>
              <w:bottom w:type="dxa" w:w="120"/>
              <w:right w:type="dxa" w:w="160"/>
            </w:tcMar>
          </w:tcPr>
          <w:p>
            <w:r>
              <w:rPr>
                <w:rFonts w:ascii="Courier New" w:cs="Courier New" w:eastAsia="Courier New" w:hAnsi="Courier New"/>
                <w:b/>
                <w:bCs/>
                <w:color w:val="1B5E20"/>
                <w:sz w:val="20"/>
                <w:szCs w:val="20"/>
              </w:rPr>
              <w:t xml:space="preserve">today − clamped_lookback</w:t>
            </w:r>
          </w:p>
        </w:tc>
        <w:tc>
          <w:tcPr>
            <w:tcW w:type="dxa" w:w="2800"/>
            <w:tcBorders>
              <w:top w:val="single" w:color="CCCCCC" w:sz="1"/>
              <w:left w:val="single" w:color="CCCCCC" w:sz="1"/>
              <w:bottom w:val="single" w:color="CCCCCC" w:sz="1"/>
              <w:right w:val="single" w:color="CCCCCC" w:sz="1"/>
            </w:tcBorders>
            <w:shd w:fill="FAFAFA" w:val="clear"/>
            <w:tcMar>
              <w:top w:type="dxa" w:w="120"/>
              <w:left w:type="dxa" w:w="160"/>
              <w:bottom w:type="dxa" w:w="120"/>
              <w:right w:type="dxa" w:w="160"/>
            </w:tcMar>
          </w:tcPr>
          <w:p>
            <w:r>
              <w:rPr>
                <w:rFonts w:ascii="Arial" w:cs="Arial" w:eastAsia="Arial" w:hAnsi="Arial"/>
                <w:i/>
                <w:iCs/>
                <w:color w:val="6B7280"/>
                <w:sz w:val="19"/>
                <w:szCs w:val="19"/>
              </w:rPr>
              <w:t xml:space="preserve">First day of eligible cohorts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5E9" w:val="clear"/>
            <w:tcMar>
              <w:top w:type="dxa" w:w="160"/>
              <w:left w:type="dxa" w:w="240"/>
              <w:bottom w:type="dxa" w:w="160"/>
              <w:right w:type="dxa" w:w="240"/>
            </w:tcMar>
          </w:tcPr>
          <w:p>
            <w:r>
              <w:rPr>
                <w:rFonts w:ascii="Arial" w:cs="Arial" w:eastAsia="Arial" w:hAnsi="Arial"/>
                <w:b/>
                <w:bCs/>
                <w:color w:val="1A2332"/>
                <w:sz w:val="22"/>
                <w:szCs w:val="22"/>
              </w:rPr>
              <w:t xml:space="preserve">Why 1.5× the median?</w:t>
            </w:r>
          </w:p>
          <w:p>
            <w:pPr>
              <w:spacing w:after="0" w:before="40"/>
            </w:pPr>
            <w:r>
              <w:rPr>
                <w:rFonts w:ascii="Arial" w:cs="Arial" w:eastAsia="Arial" w:hAnsi="Arial"/>
                <w:color w:val="444444"/>
                <w:sz w:val="21"/>
                <w:szCs w:val="21"/>
              </w:rPr>
              <w:t xml:space="preserve">The lookback must cover at least one full processing cycle so the algorithm sees both fast and slow completions. 1.0× would only reach back to the median applicant — missing all the slower half. 1.5× captures the P75 and beyond, giving the survival bias correction enough slow-lane data to work with. The 9-month floor (270 days) ensures we never use too small a sample when the median is short. The 18-month ceiling (547 days) ensures we never include stale IRCC eras from a different processing regime.</w:t>
            </w:r>
          </w:p>
        </w:tc>
      </w:tr>
    </w:tbl>
    <w:p>
      <w:pPr>
        <w:spacing w:after="80" w:before="80"/>
      </w:pPr>
    </w:p>
    <w:p>
      <w:pPr>
        <w:pStyle w:val="Heading2"/>
        <w:spacing w:after="120" w:before="280"/>
      </w:pPr>
      <w:r>
        <w:rPr>
          <w:rFonts w:ascii="Arial" w:cs="Arial" w:eastAsia="Arial" w:hAnsi="Arial"/>
          <w:b/>
          <w:bCs/>
          <w:color w:val="1A2332"/>
          <w:sz w:val="28"/>
          <w:szCs w:val="28"/>
        </w:rPr>
        <w:t xml:space="preserve">8b.2  Sensitivity Table</w:t>
      </w:r>
    </w:p>
    <w:p>
      <w:pPr>
        <w:spacing w:after="80" w:before="80"/>
      </w:pPr>
      <w:r>
        <w:rPr>
          <w:rFonts w:ascii="Arial" w:cs="Arial" w:eastAsia="Arial" w:hAnsi="Arial"/>
          <w:b w:val="false"/>
          <w:bCs w:val="false"/>
          <w:i w:val="false"/>
          <w:iCs w:val="false"/>
          <w:color w:val="333333"/>
          <w:sz w:val="22"/>
          <w:szCs w:val="22"/>
        </w:rPr>
        <w:t xml:space="preserve">How the cutoff shifts automatically as processing times change: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Stored median</w:t>
            </w:r>
          </w:p>
        </w:tc>
        <w:tc>
          <w:tcPr>
            <w:tcW w:type="dxa" w:w="1872"/>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Raw lookback (1.5×)</w:t>
            </w:r>
          </w:p>
        </w:tc>
        <w:tc>
          <w:tcPr>
            <w:tcW w:type="dxa" w:w="1872"/>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Clamped lookback</w:t>
            </w:r>
          </w:p>
        </w:tc>
        <w:tc>
          <w:tcPr>
            <w:tcW w:type="dxa" w:w="1872"/>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Cutoff date (from May 16 2026)</w:t>
            </w:r>
          </w:p>
        </w:tc>
        <w:tc>
          <w:tcPr>
            <w:tcW w:type="dxa" w:w="1872"/>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Floor/ceiling hit?</w:t>
            </w:r>
          </w:p>
        </w:tc>
      </w:tr>
      <w:tr>
        <w:tc>
          <w:tcPr>
            <w:tcW w:type="dxa" w:w="1872"/>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color w:val="333333"/>
                <w:sz w:val="20"/>
                <w:szCs w:val="20"/>
              </w:rPr>
              <w:t xml:space="preserve">120 days (fast era)</w:t>
            </w:r>
          </w:p>
        </w:tc>
        <w:tc>
          <w:tcPr>
            <w:tcW w:type="dxa" w:w="187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180 days</w:t>
            </w:r>
          </w:p>
        </w:tc>
        <w:tc>
          <w:tcPr>
            <w:tcW w:type="dxa" w:w="187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270 days</w:t>
            </w:r>
          </w:p>
        </w:tc>
        <w:tc>
          <w:tcPr>
            <w:tcW w:type="dxa" w:w="187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Aug 19, 2025</w:t>
            </w:r>
          </w:p>
        </w:tc>
        <w:tc>
          <w:tcPr>
            <w:tcW w:type="dxa" w:w="187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Yes — 9-month floor</w:t>
            </w:r>
          </w:p>
        </w:tc>
      </w:tr>
      <w:tr>
        <w:tc>
          <w:tcPr>
            <w:tcW w:type="dxa" w:w="1872"/>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color w:val="333333"/>
                <w:sz w:val="20"/>
                <w:szCs w:val="20"/>
              </w:rPr>
              <w:t xml:space="preserve">150 days</w:t>
            </w:r>
          </w:p>
        </w:tc>
        <w:tc>
          <w:tcPr>
            <w:tcW w:type="dxa" w:w="187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225 days</w:t>
            </w:r>
          </w:p>
        </w:tc>
        <w:tc>
          <w:tcPr>
            <w:tcW w:type="dxa" w:w="187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270 days</w:t>
            </w:r>
          </w:p>
        </w:tc>
        <w:tc>
          <w:tcPr>
            <w:tcW w:type="dxa" w:w="187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Aug 19, 2025</w:t>
            </w:r>
          </w:p>
        </w:tc>
        <w:tc>
          <w:tcPr>
            <w:tcW w:type="dxa" w:w="187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Yes — 9-month floor</w:t>
            </w:r>
          </w:p>
        </w:tc>
      </w:tr>
      <w:tr>
        <w:tc>
          <w:tcPr>
            <w:tcW w:type="dxa" w:w="1872"/>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color w:val="333333"/>
                <w:sz w:val="20"/>
                <w:szCs w:val="20"/>
              </w:rPr>
              <w:t xml:space="preserve">180 days</w:t>
            </w:r>
          </w:p>
        </w:tc>
        <w:tc>
          <w:tcPr>
            <w:tcW w:type="dxa" w:w="187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270 days</w:t>
            </w:r>
          </w:p>
        </w:tc>
        <w:tc>
          <w:tcPr>
            <w:tcW w:type="dxa" w:w="187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270 days</w:t>
            </w:r>
          </w:p>
        </w:tc>
        <w:tc>
          <w:tcPr>
            <w:tcW w:type="dxa" w:w="187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Aug 19, 2025</w:t>
            </w:r>
          </w:p>
        </w:tc>
        <w:tc>
          <w:tcPr>
            <w:tcW w:type="dxa" w:w="187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At floor exactly</w:t>
            </w:r>
          </w:p>
        </w:tc>
      </w:tr>
      <w:tr>
        <w:tc>
          <w:tcPr>
            <w:tcW w:type="dxa" w:w="1872"/>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bCs/>
                <w:color w:val="333333"/>
                <w:sz w:val="20"/>
                <w:szCs w:val="20"/>
              </w:rPr>
              <w:t xml:space="preserve">210 days (current)</w:t>
            </w:r>
          </w:p>
        </w:tc>
        <w:tc>
          <w:tcPr>
            <w:tcW w:type="dxa" w:w="1872"/>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bCs/>
                <w:color w:val="333333"/>
                <w:sz w:val="20"/>
                <w:szCs w:val="20"/>
              </w:rPr>
              <w:t xml:space="preserve">315 days</w:t>
            </w:r>
          </w:p>
        </w:tc>
        <w:tc>
          <w:tcPr>
            <w:tcW w:type="dxa" w:w="1872"/>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bCs/>
                <w:color w:val="333333"/>
                <w:sz w:val="20"/>
                <w:szCs w:val="20"/>
              </w:rPr>
              <w:t xml:space="preserve">315 days</w:t>
            </w:r>
          </w:p>
        </w:tc>
        <w:tc>
          <w:tcPr>
            <w:tcW w:type="dxa" w:w="1872"/>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bCs/>
                <w:color w:val="333333"/>
                <w:sz w:val="20"/>
                <w:szCs w:val="20"/>
              </w:rPr>
              <w:t xml:space="preserve">Jul 5, 2025</w:t>
            </w:r>
          </w:p>
        </w:tc>
        <w:tc>
          <w:tcPr>
            <w:tcW w:type="dxa" w:w="1872"/>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bCs/>
                <w:color w:val="333333"/>
                <w:sz w:val="20"/>
                <w:szCs w:val="20"/>
              </w:rPr>
              <w:t xml:space="preserve">No clamp needed</w:t>
            </w:r>
          </w:p>
        </w:tc>
      </w:tr>
      <w:tr>
        <w:tc>
          <w:tcPr>
            <w:tcW w:type="dxa" w:w="1872"/>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color w:val="333333"/>
                <w:sz w:val="20"/>
                <w:szCs w:val="20"/>
              </w:rPr>
              <w:t xml:space="preserve">240 days</w:t>
            </w:r>
          </w:p>
        </w:tc>
        <w:tc>
          <w:tcPr>
            <w:tcW w:type="dxa" w:w="187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360 days</w:t>
            </w:r>
          </w:p>
        </w:tc>
        <w:tc>
          <w:tcPr>
            <w:tcW w:type="dxa" w:w="187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360 days</w:t>
            </w:r>
          </w:p>
        </w:tc>
        <w:tc>
          <w:tcPr>
            <w:tcW w:type="dxa" w:w="187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May 21, 2025</w:t>
            </w:r>
          </w:p>
        </w:tc>
        <w:tc>
          <w:tcPr>
            <w:tcW w:type="dxa" w:w="187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No clamp needed</w:t>
            </w:r>
          </w:p>
        </w:tc>
      </w:tr>
      <w:tr>
        <w:tc>
          <w:tcPr>
            <w:tcW w:type="dxa" w:w="1872"/>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color w:val="333333"/>
                <w:sz w:val="20"/>
                <w:szCs w:val="20"/>
              </w:rPr>
              <w:t xml:space="preserve">270 days (very slow)</w:t>
            </w:r>
          </w:p>
        </w:tc>
        <w:tc>
          <w:tcPr>
            <w:tcW w:type="dxa" w:w="187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405 days</w:t>
            </w:r>
          </w:p>
        </w:tc>
        <w:tc>
          <w:tcPr>
            <w:tcW w:type="dxa" w:w="187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405 days</w:t>
            </w:r>
          </w:p>
        </w:tc>
        <w:tc>
          <w:tcPr>
            <w:tcW w:type="dxa" w:w="187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Apr 6, 2025</w:t>
            </w:r>
          </w:p>
        </w:tc>
        <w:tc>
          <w:tcPr>
            <w:tcW w:type="dxa" w:w="187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No clamp needed</w:t>
            </w:r>
          </w:p>
        </w:tc>
      </w:tr>
      <w:tr>
        <w:tc>
          <w:tcPr>
            <w:tcW w:type="dxa" w:w="1872"/>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color w:val="333333"/>
                <w:sz w:val="20"/>
                <w:szCs w:val="20"/>
              </w:rPr>
              <w:t xml:space="preserve">365 days (extreme)</w:t>
            </w:r>
          </w:p>
        </w:tc>
        <w:tc>
          <w:tcPr>
            <w:tcW w:type="dxa" w:w="187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547 days</w:t>
            </w:r>
          </w:p>
        </w:tc>
        <w:tc>
          <w:tcPr>
            <w:tcW w:type="dxa" w:w="187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547 days</w:t>
            </w:r>
          </w:p>
        </w:tc>
        <w:tc>
          <w:tcPr>
            <w:tcW w:type="dxa" w:w="187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Nov 17, 2024</w:t>
            </w:r>
          </w:p>
        </w:tc>
        <w:tc>
          <w:tcPr>
            <w:tcW w:type="dxa" w:w="187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Yes — 18-month ceiling</w:t>
            </w:r>
          </w:p>
        </w:tc>
      </w:tr>
    </w:tbl>
    <w:p>
      <w:pPr>
        <w:spacing w:after="80" w:before="80"/>
      </w:pPr>
    </w:p>
    <w:p>
      <w:pPr>
        <w:spacing w:after="80" w:before="80"/>
      </w:pPr>
      <w:r>
        <w:rPr>
          <w:rFonts w:ascii="Arial" w:cs="Arial" w:eastAsia="Arial" w:hAnsi="Arial"/>
          <w:b w:val="false"/>
          <w:bCs w:val="false"/>
          <w:i/>
          <w:iCs/>
          <w:color w:val="333333"/>
          <w:sz w:val="22"/>
          <w:szCs w:val="22"/>
        </w:rPr>
        <w:t xml:space="preserve">The 9-month floor means that even in a fast-processing environment (median 120d), the algorithm always looks back at least 9 months. This prevents the window from shrinking so small that the survival bias correction has no data to work with.</w:t>
      </w:r>
    </w:p>
    <w:p>
      <w:pPr>
        <w:spacing w:after="80" w:before="80"/>
      </w:pPr>
    </w:p>
    <w:p>
      <w:pPr>
        <w:pStyle w:val="Heading2"/>
        <w:spacing w:after="120" w:before="280"/>
      </w:pPr>
      <w:r>
        <w:rPr>
          <w:rFonts w:ascii="Arial" w:cs="Arial" w:eastAsia="Arial" w:hAnsi="Arial"/>
          <w:b/>
          <w:bCs/>
          <w:color w:val="1A2332"/>
          <w:sz w:val="28"/>
          <w:szCs w:val="28"/>
        </w:rPr>
        <w:t xml:space="preserve">8b.3  Self-Referential Resolution</w:t>
      </w:r>
    </w:p>
    <w:p>
      <w:pPr>
        <w:spacing w:after="80" w:before="80"/>
      </w:pPr>
      <w:r>
        <w:rPr>
          <w:rFonts w:ascii="Arial" w:cs="Arial" w:eastAsia="Arial" w:hAnsi="Arial"/>
          <w:b w:val="false"/>
          <w:bCs w:val="false"/>
          <w:i w:val="false"/>
          <w:iCs w:val="false"/>
          <w:color w:val="333333"/>
          <w:sz w:val="22"/>
          <w:szCs w:val="22"/>
        </w:rPr>
        <w:t xml:space="preserve">The formula is self-referential — the cutoff depends on the median, and the median depends on which cohorts are included. This is resolved by using the previous week's stored median to compute this week's cutoff:</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1872"/>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Stored median (input)</w:t>
            </w:r>
          </w:p>
        </w:tc>
        <w:tc>
          <w:tcPr>
            <w:tcW w:type="dxa" w:w="1872"/>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Computed cutoff</w:t>
            </w:r>
          </w:p>
        </w:tc>
        <w:tc>
          <w:tcPr>
            <w:tcW w:type="dxa" w:w="1872"/>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New median (output)</w:t>
            </w:r>
          </w:p>
        </w:tc>
        <w:tc>
          <w:tcPr>
            <w:tcW w:type="dxa" w:w="1872"/>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1872"/>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color w:val="333333"/>
                <w:sz w:val="20"/>
                <w:szCs w:val="20"/>
              </w:rPr>
              <w:t xml:space="preserve">Week 0 (bootstrap)</w:t>
            </w:r>
          </w:p>
        </w:tc>
        <w:tc>
          <w:tcPr>
            <w:tcW w:type="dxa" w:w="187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180 days (seed value)</w:t>
            </w:r>
          </w:p>
        </w:tc>
        <w:tc>
          <w:tcPr>
            <w:tcW w:type="dxa" w:w="187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270 days ago</w:t>
            </w:r>
          </w:p>
        </w:tc>
        <w:tc>
          <w:tcPr>
            <w:tcW w:type="dxa" w:w="187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Compute from data</w:t>
            </w:r>
          </w:p>
        </w:tc>
        <w:tc>
          <w:tcPr>
            <w:tcW w:type="dxa" w:w="187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Store new median</w:t>
            </w:r>
          </w:p>
        </w:tc>
      </w:tr>
      <w:tr>
        <w:tc>
          <w:tcPr>
            <w:tcW w:type="dxa" w:w="1872"/>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color w:val="333333"/>
                <w:sz w:val="20"/>
                <w:szCs w:val="20"/>
              </w:rPr>
              <w:t xml:space="preserve">Week 1</w:t>
            </w:r>
          </w:p>
        </w:tc>
        <w:tc>
          <w:tcPr>
            <w:tcW w:type="dxa" w:w="187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Median from Week 0</w:t>
            </w:r>
          </w:p>
        </w:tc>
        <w:tc>
          <w:tcPr>
            <w:tcW w:type="dxa" w:w="187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Recomputed</w:t>
            </w:r>
          </w:p>
        </w:tc>
        <w:tc>
          <w:tcPr>
            <w:tcW w:type="dxa" w:w="187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Recomputed</w:t>
            </w:r>
          </w:p>
        </w:tc>
        <w:tc>
          <w:tcPr>
            <w:tcW w:type="dxa" w:w="187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Update stored median</w:t>
            </w:r>
          </w:p>
        </w:tc>
      </w:tr>
      <w:tr>
        <w:tc>
          <w:tcPr>
            <w:tcW w:type="dxa" w:w="1872"/>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color w:val="333333"/>
                <w:sz w:val="20"/>
                <w:szCs w:val="20"/>
              </w:rPr>
              <w:t xml:space="preserve">Week N</w:t>
            </w:r>
          </w:p>
        </w:tc>
        <w:tc>
          <w:tcPr>
            <w:tcW w:type="dxa" w:w="187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Median from Week N-1</w:t>
            </w:r>
          </w:p>
        </w:tc>
        <w:tc>
          <w:tcPr>
            <w:tcW w:type="dxa" w:w="187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Recomputed</w:t>
            </w:r>
          </w:p>
        </w:tc>
        <w:tc>
          <w:tcPr>
            <w:tcW w:type="dxa" w:w="187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Recomputed</w:t>
            </w:r>
          </w:p>
        </w:tc>
        <w:tc>
          <w:tcPr>
            <w:tcW w:type="dxa" w:w="187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Update stored median</w:t>
            </w:r>
          </w:p>
        </w:tc>
      </w:tr>
    </w:tbl>
    <w:p>
      <w:pPr>
        <w:spacing w:after="80" w:before="80"/>
      </w:pPr>
    </w:p>
    <w:p>
      <w:pPr>
        <w:spacing w:after="80" w:before="80"/>
      </w:pPr>
      <w:r>
        <w:rPr>
          <w:rFonts w:ascii="Arial" w:cs="Arial" w:eastAsia="Arial" w:hAnsi="Arial"/>
          <w:b w:val="false"/>
          <w:bCs w:val="false"/>
          <w:i w:val="false"/>
          <w:iCs w:val="false"/>
          <w:color w:val="333333"/>
          <w:sz w:val="22"/>
          <w:szCs w:val="22"/>
        </w:rPr>
        <w:t xml:space="preserve">Bootstrap seed: on first run with no stored median, use 180 days as the seed. This activates the 9-month floor, producing a cutoff of today − 270 days. The system self-corrects within 2–3 weekly syncs as real data flows in.</w:t>
      </w:r>
    </w:p>
    <w:p>
      <w:pPr>
        <w:spacing w:after="80" w:before="80"/>
      </w:pPr>
    </w:p>
    <w:p>
      <w:pPr>
        <w:pStyle w:val="Heading2"/>
        <w:spacing w:after="120" w:before="280"/>
      </w:pPr>
      <w:r>
        <w:rPr>
          <w:rFonts w:ascii="Arial" w:cs="Arial" w:eastAsia="Arial" w:hAnsi="Arial"/>
          <w:b/>
          <w:bCs/>
          <w:color w:val="1A2332"/>
          <w:sz w:val="28"/>
          <w:szCs w:val="28"/>
        </w:rPr>
        <w:t xml:space="preserve">8b.4  What to Store in the Database</w:t>
      </w:r>
    </w:p>
    <w:p>
      <w:pPr>
        <w:spacing w:after="80" w:before="80"/>
      </w:pPr>
      <w:r>
        <w:rPr>
          <w:rFonts w:ascii="Arial" w:cs="Arial" w:eastAsia="Arial" w:hAnsi="Arial"/>
          <w:b w:val="false"/>
          <w:bCs w:val="false"/>
          <w:i w:val="false"/>
          <w:iCs w:val="false"/>
          <w:color w:val="333333"/>
          <w:sz w:val="22"/>
          <w:szCs w:val="22"/>
        </w:rPr>
        <w:t xml:space="preserve">After each weekly sync, persist the following calibration record. The next sync reads stored_median_days from this table to compute the new cutoff:</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12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12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computed_at</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TIMESTAMP</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When this calibration was run (UTC)</w:t>
            </w:r>
          </w:p>
        </w:tc>
      </w:tr>
      <w:tr>
        <w:tc>
          <w:tcPr>
            <w:tcW w:type="dxa" w:w="312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color w:val="333333"/>
                <w:sz w:val="20"/>
                <w:szCs w:val="20"/>
              </w:rPr>
              <w:t xml:space="preserve">cutoff_date</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DATE</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AOR eligibility cutoff used this week</w:t>
            </w:r>
          </w:p>
        </w:tc>
      </w:tr>
      <w:tr>
        <w:tc>
          <w:tcPr>
            <w:tcW w:type="dxa" w:w="312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color w:val="333333"/>
                <w:sz w:val="20"/>
                <w:szCs w:val="20"/>
              </w:rPr>
              <w:t xml:space="preserve">lookback_days</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INTEGER</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Actual clamped lookback (270–547)</w:t>
            </w:r>
          </w:p>
        </w:tc>
      </w:tr>
      <w:tr>
        <w:tc>
          <w:tcPr>
            <w:tcW w:type="dxa" w:w="312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color w:val="333333"/>
                <w:sz w:val="20"/>
                <w:szCs w:val="20"/>
              </w:rPr>
              <w:t xml:space="preserve">stored_median_days</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INTEGER</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Input median used to compute cutoff</w:t>
            </w:r>
          </w:p>
        </w:tc>
      </w:tr>
      <w:tr>
        <w:tc>
          <w:tcPr>
            <w:tcW w:type="dxa" w:w="312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color w:val="333333"/>
                <w:sz w:val="20"/>
                <w:szCs w:val="20"/>
              </w:rPr>
              <w:t xml:space="preserve">new_median_days</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INTEGER</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Output median from this week's data — becomes next week's input</w:t>
            </w:r>
          </w:p>
        </w:tc>
      </w:tr>
      <w:tr>
        <w:tc>
          <w:tcPr>
            <w:tcW w:type="dxa" w:w="312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color w:val="333333"/>
                <w:sz w:val="20"/>
                <w:szCs w:val="20"/>
              </w:rPr>
              <w:t xml:space="preserve">new_p25_days</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INTEGER</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P25 of recency-weighted corrected distribution</w:t>
            </w:r>
          </w:p>
        </w:tc>
      </w:tr>
      <w:tr>
        <w:tc>
          <w:tcPr>
            <w:tcW w:type="dxa" w:w="312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color w:val="333333"/>
                <w:sz w:val="20"/>
                <w:szCs w:val="20"/>
              </w:rPr>
              <w:t xml:space="preserve">new_p75_days</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INTEGER</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P75 of recency-weighted corrected distribution</w:t>
            </w:r>
          </w:p>
        </w:tc>
      </w:tr>
      <w:tr>
        <w:tc>
          <w:tcPr>
            <w:tcW w:type="dxa" w:w="312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color w:val="333333"/>
                <w:sz w:val="20"/>
                <w:szCs w:val="20"/>
              </w:rPr>
              <w:t xml:space="preserve">new_p90_days</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INTEGER</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P90 of recency-weighted corrected distribution</w:t>
            </w:r>
          </w:p>
        </w:tc>
      </w:tr>
      <w:tr>
        <w:tc>
          <w:tcPr>
            <w:tcW w:type="dxa" w:w="312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color w:val="333333"/>
                <w:sz w:val="20"/>
                <w:szCs w:val="20"/>
              </w:rPr>
              <w:t xml:space="preserve">n_eligible</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INTEGER</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Total applicants in eligible window</w:t>
            </w:r>
          </w:p>
        </w:tc>
      </w:tr>
      <w:tr>
        <w:tc>
          <w:tcPr>
            <w:tcW w:type="dxa" w:w="312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color w:val="333333"/>
                <w:sz w:val="20"/>
                <w:szCs w:val="20"/>
              </w:rPr>
              <w:t xml:space="preserve">n_completed</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INTEGER</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Applicants with eCOPR in eligible window</w:t>
            </w:r>
          </w:p>
        </w:tc>
      </w:tr>
      <w:tr>
        <w:tc>
          <w:tcPr>
            <w:tcW w:type="dxa" w:w="312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color w:val="333333"/>
                <w:sz w:val="20"/>
                <w:szCs w:val="20"/>
              </w:rPr>
              <w:t xml:space="preserve">n_waiting</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INTEGER</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Applicants still waiting in eligible window</w:t>
            </w:r>
          </w:p>
        </w:tc>
      </w:tr>
      <w:tr>
        <w:tc>
          <w:tcPr>
            <w:tcW w:type="dxa" w:w="312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color w:val="333333"/>
                <w:sz w:val="20"/>
                <w:szCs w:val="20"/>
              </w:rPr>
              <w:t xml:space="preserve">n_imputed</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INTEGER</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How many still-waiting had days imputed</w:t>
            </w:r>
          </w:p>
        </w:tc>
      </w:tr>
    </w:tbl>
    <w:p>
      <w:pPr>
        <w:spacing w:after="80" w:before="80"/>
      </w:pPr>
    </w:p>
    <w:p>
      <w:pPr>
        <w:pStyle w:val="Heading2"/>
        <w:spacing w:after="120" w:before="280"/>
      </w:pPr>
      <w:r>
        <w:rPr>
          <w:rFonts w:ascii="Arial" w:cs="Arial" w:eastAsia="Arial" w:hAnsi="Arial"/>
          <w:b/>
          <w:bCs/>
          <w:color w:val="1A2332"/>
          <w:sz w:val="28"/>
          <w:szCs w:val="28"/>
        </w:rPr>
        <w:t xml:space="preserve">8b.5  Pseudocode</w:t>
      </w:r>
    </w:p>
    <w:p>
      <w:pPr>
        <w:spacing w:after="80" w:before="80"/>
      </w:pPr>
      <w:r>
        <w:rPr>
          <w:rFonts w:ascii="Arial" w:cs="Arial" w:eastAsia="Arial" w:hAnsi="Arial"/>
          <w:b w:val="false"/>
          <w:bCs w:val="false"/>
          <w:i w:val="false"/>
          <w:iCs w:val="false"/>
          <w:color w:val="333333"/>
          <w:sz w:val="22"/>
          <w:szCs w:val="22"/>
        </w:rPr>
        <w:t xml:space="preserve">Complete backend logic for the weekly sync:</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EF4ED" w:val="clear"/>
            <w:tcMar>
              <w:top w:type="dxa" w:w="160"/>
              <w:left w:type="dxa" w:w="240"/>
              <w:bottom w:type="dxa" w:w="160"/>
              <w:right w:type="dxa" w:w="240"/>
            </w:tcMar>
          </w:tcPr>
          <w:p>
            <w:r>
              <w:rPr>
                <w:rFonts w:ascii="Arial" w:cs="Arial" w:eastAsia="Arial" w:hAnsi="Arial"/>
                <w:b/>
                <w:bCs/>
                <w:color w:val="1A2332"/>
                <w:sz w:val="22"/>
                <w:szCs w:val="22"/>
              </w:rPr>
              <w:t xml:space="preserve">Weekly sync — cutoff and median computation</w:t>
            </w:r>
          </w:p>
          <w:p>
            <w:pPr>
              <w:spacing w:after="0" w:before="40"/>
            </w:pPr>
            <w:r>
              <w:rPr>
                <w:rFonts w:ascii="Arial" w:cs="Arial" w:eastAsia="Arial" w:hAnsi="Arial"/>
                <w:color w:val="444444"/>
                <w:sz w:val="21"/>
                <w:szCs w:val="21"/>
              </w:rPr>
              <w:t xml:space="preserve"># Step 1: Load last week's stored median (or seed=180 on first run)
stored_median = db.get_latest_calibration().new_median_days ?? 180
# Step 2: Compute dynamic cutoff
raw_lookback    = stored_median * 1.5
clamped         = clamp(raw_lookback, min=270, max=547)
cutoff_date     = today - clamped days
# Step 3: Filter dataset
eligible = dataset.filter(AOR_date &gt;= cutoff_date)
# Step 4: Survival bias correction
completed = eligible.filter(ecopr_date IS NOT NULL)
waiting   = eligible.filter(ecopr_date IS NULL)
imputed   = waiting.map(row =&gt; row.days_elapsed + 30)
all_days  = completed.days ∪ imputed
# Step 5: Recency-weighted median
weight(row) = 2.0 if ecopr_date &gt;= today-90d else (1.0 if ecopr_date &gt;= today-180d else 0.5)
new_median = weighted_percentile(all_days, weights, 0.50)
# Step 6: Store calibration
db.insert_calibration({ computed_at: now, cutoff_date, lookback_days: clamped,
  stored_median_days: stored_median, new_median_days: new_median, ... })</w:t>
            </w:r>
          </w:p>
        </w:tc>
      </w:tr>
    </w:tbl>
    <w:p>
      <w:pPr>
        <w:spacing w:after="80" w:before="80"/>
      </w:pPr>
    </w:p>
    <w:p>
      <w:pPr>
        <w:pBdr>
          <w:bottom w:val="single" w:color="DDDDDD" w:sz="4" w:space="1"/>
        </w:pBdr>
        <w:spacing w:after="160" w:before="160"/>
      </w:pPr>
    </w:p>
    <w:p>
      <w:pPr>
        <w:spacing w:after="80" w:before="80"/>
      </w:pPr>
    </w:p>
    <w:p>
      <w:pPr>
        <w:spacing w:before="240" w:after="120"/>
      </w:pPr>
      <w:r>
        <w:rPr>
          <w:rFonts w:ascii="Arial" w:cs="Arial" w:eastAsia="Arial" w:hAnsi="Arial"/>
          <w:b/>
          <w:bCs/>
          <w:color w:val="1A2332"/>
          <w:sz w:val="28"/>
          <w:szCs w:val="28"/>
        </w:rPr>
        <w:t xml:space="preserve">8c.  Dashboard Cross-Check — HTML Output Validation</w:t>
      </w:r>
    </w:p>
    <w:p>
      <w:pPr>
        <w:spacing w:after="80" w:before="60"/>
      </w:pPr>
      <w:r>
        <w:rPr>
          <w:rFonts w:ascii="Arial" w:cs="Arial" w:eastAsia="Arial" w:hAnsi="Arial"/>
          <w:color w:val="333333"/>
          <w:sz w:val="20"/>
          <w:szCs w:val="20"/>
        </w:rPr>
        <w:t xml:space="preserve">The following table cross-checks every value displayed in the AORTrack HTML dashboard against the v2.0 algorithm. All figures use the March 4, 2026 AOR worked example (Day 73 as of May 16, 2026).</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800"/>
        <w:gridCol w:w="2800"/>
        <w:gridCol w:w="2000"/>
        <w:gridCol w:w="1760"/>
      </w:tblGrid>
      <w:tr>
        <w:tc>
          <w:tcPr>
            <w:tcW w:type="dxa" w:w="280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Dashboard element</w:t>
            </w:r>
          </w:p>
        </w:tc>
        <w:tc>
          <w:tcPr>
            <w:tcW w:type="dxa" w:w="280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Algorithm source</w:t>
            </w:r>
          </w:p>
        </w:tc>
        <w:tc>
          <w:tcPr>
            <w:tcW w:type="dxa" w:w="200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Value (Mar 4 AOR)</w:t>
            </w:r>
          </w:p>
        </w:tc>
        <w:tc>
          <w:tcPr>
            <w:tcW w:type="dxa" w:w="176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AOR date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Primary key — immutable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Mar 4, 2026</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Verified</w:t>
            </w:r>
          </w:p>
        </w:tc>
      </w:tr>
      <w:tr>
        <w:tc>
          <w:tcPr>
            <w:tcW w:type="dxa" w:w="28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color w:val="333333"/>
                <w:sz w:val="20"/>
                <w:szCs w:val="20"/>
              </w:rPr>
              <w:t xml:space="preserve">Days since AOR</w:t>
            </w:r>
          </w:p>
        </w:tc>
        <w:tc>
          <w:tcPr>
            <w:tcW w:type="dxa" w:w="28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color w:val="333333"/>
                <w:sz w:val="20"/>
                <w:szCs w:val="20"/>
              </w:rPr>
              <w:t xml:space="preserve">(today - AOR_date)</w:t>
            </w:r>
          </w:p>
        </w:tc>
        <w:tc>
          <w:tcPr>
            <w:tcW w:type="dxa" w:w="20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color w:val="333333"/>
                <w:sz w:val="20"/>
                <w:szCs w:val="20"/>
              </w:rPr>
              <w:t xml:space="preserve">73 days</w:t>
            </w:r>
          </w:p>
        </w:tc>
        <w:tc>
          <w:tcPr>
            <w:tcW w:type="dxa" w:w="176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color w:val="333333"/>
                <w:sz w:val="20"/>
                <w:szCs w:val="20"/>
              </w:rPr>
              <w:t xml:space="preserve">✓ Correct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Typical wait (median)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P50 · recency-weighted · AOR &gt;= cutoff_date (§8b)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210 days (~7 months)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Correct</w:t>
            </w:r>
          </w:p>
        </w:tc>
      </w:tr>
      <w:tr>
        <w:tc>
          <w:tcPr>
            <w:tcW w:type="dxa" w:w="28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color w:val="333333"/>
                <w:sz w:val="20"/>
                <w:szCs w:val="20"/>
              </w:rPr>
              <w:t xml:space="preserve">Journey %</w:t>
            </w:r>
          </w:p>
        </w:tc>
        <w:tc>
          <w:tcPr>
            <w:tcW w:type="dxa" w:w="28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color w:val="333333"/>
                <w:sz w:val="20"/>
                <w:szCs w:val="20"/>
              </w:rPr>
              <w:t xml:space="preserve">(73 ÷ 210) × 100</w:t>
            </w:r>
          </w:p>
        </w:tc>
        <w:tc>
          <w:tcPr>
            <w:tcW w:type="dxa" w:w="20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color w:val="333333"/>
                <w:sz w:val="20"/>
                <w:szCs w:val="20"/>
              </w:rPr>
              <w:t xml:space="preserve">34.8%</w:t>
            </w:r>
          </w:p>
        </w:tc>
        <w:tc>
          <w:tcPr>
            <w:tcW w:type="dxa" w:w="176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color w:val="333333"/>
                <w:sz w:val="20"/>
                <w:szCs w:val="20"/>
              </w:rPr>
              <w:t xml:space="preserve">✓ Correct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Days remaining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210 - 73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~137 days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Correct</w:t>
            </w:r>
          </w:p>
        </w:tc>
      </w:tr>
      <w:tr>
        <w:tc>
          <w:tcPr>
            <w:tcW w:type="dxa" w:w="28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color w:val="333333"/>
                <w:sz w:val="20"/>
                <w:szCs w:val="20"/>
              </w:rPr>
              <w:t xml:space="preserve">Queue position</w:t>
            </w:r>
          </w:p>
        </w:tc>
        <w:tc>
          <w:tcPr>
            <w:tcW w:type="dxa" w:w="28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color w:val="333333"/>
                <w:sz w:val="20"/>
                <w:szCs w:val="20"/>
              </w:rPr>
              <w:t xml:space="preserve">COUNT(same cohort, AOR &lt; yours)</w:t>
            </w:r>
          </w:p>
        </w:tc>
        <w:tc>
          <w:tcPr>
            <w:tcW w:type="dxa" w:w="20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color w:val="333333"/>
                <w:sz w:val="20"/>
                <w:szCs w:val="20"/>
              </w:rPr>
              <w:t xml:space="preserve">0 ahead (top)</w:t>
            </w:r>
          </w:p>
        </w:tc>
        <w:tc>
          <w:tcPr>
            <w:tcW w:type="dxa" w:w="176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color w:val="333333"/>
                <w:sz w:val="20"/>
                <w:szCs w:val="20"/>
              </w:rPr>
              <w:t xml:space="preserve">✓ Correct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eCOPR P25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AOR + 175d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Aug 26, 2026</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Correct</w:t>
            </w:r>
          </w:p>
        </w:tc>
      </w:tr>
      <w:tr>
        <w:tc>
          <w:tcPr>
            <w:tcW w:type="dxa" w:w="28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color w:val="333333"/>
                <w:sz w:val="20"/>
                <w:szCs w:val="20"/>
              </w:rPr>
              <w:t xml:space="preserve">eCOPR P50 (median)</w:t>
            </w:r>
          </w:p>
        </w:tc>
        <w:tc>
          <w:tcPr>
            <w:tcW w:type="dxa" w:w="28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color w:val="333333"/>
                <w:sz w:val="20"/>
                <w:szCs w:val="20"/>
              </w:rPr>
              <w:t xml:space="preserve">AOR + 210d</w:t>
            </w:r>
          </w:p>
        </w:tc>
        <w:tc>
          <w:tcPr>
            <w:tcW w:type="dxa" w:w="20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color w:val="333333"/>
                <w:sz w:val="20"/>
                <w:szCs w:val="20"/>
              </w:rPr>
              <w:t xml:space="preserve">Sep 30, 2026</w:t>
            </w:r>
          </w:p>
        </w:tc>
        <w:tc>
          <w:tcPr>
            <w:tcW w:type="dxa" w:w="176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color w:val="333333"/>
                <w:sz w:val="20"/>
                <w:szCs w:val="20"/>
              </w:rPr>
              <w:t xml:space="preserve">✓ Correct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eCOPR P75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AOR + 245d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Nov 4, 2026</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Correct</w:t>
            </w:r>
          </w:p>
        </w:tc>
      </w:tr>
      <w:tr>
        <w:tc>
          <w:tcPr>
            <w:tcW w:type="dxa" w:w="28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color w:val="333333"/>
                <w:sz w:val="20"/>
                <w:szCs w:val="20"/>
              </w:rPr>
              <w:t xml:space="preserve">eCOPR P90</w:t>
            </w:r>
          </w:p>
        </w:tc>
        <w:tc>
          <w:tcPr>
            <w:tcW w:type="dxa" w:w="28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color w:val="333333"/>
                <w:sz w:val="20"/>
                <w:szCs w:val="20"/>
              </w:rPr>
              <w:t xml:space="preserve">AOR + 280d</w:t>
            </w:r>
          </w:p>
        </w:tc>
        <w:tc>
          <w:tcPr>
            <w:tcW w:type="dxa" w:w="20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color w:val="333333"/>
                <w:sz w:val="20"/>
                <w:szCs w:val="20"/>
              </w:rPr>
              <w:t xml:space="preserve">Dec 9, 2026</w:t>
            </w:r>
          </w:p>
        </w:tc>
        <w:tc>
          <w:tcPr>
            <w:tcW w:type="dxa" w:w="176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color w:val="333333"/>
                <w:sz w:val="20"/>
                <w:szCs w:val="20"/>
              </w:rPr>
              <w:t xml:space="preserve">✓ Correct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P1 invite P25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AOR + 98d · 2026 data n=74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Jun 10, 2026</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Correct</w:t>
            </w:r>
          </w:p>
        </w:tc>
      </w:tr>
      <w:tr>
        <w:tc>
          <w:tcPr>
            <w:tcW w:type="dxa" w:w="28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color w:val="333333"/>
                <w:sz w:val="20"/>
                <w:szCs w:val="20"/>
              </w:rPr>
              <w:t xml:space="preserve">P1 invite P50</w:t>
            </w:r>
          </w:p>
        </w:tc>
        <w:tc>
          <w:tcPr>
            <w:tcW w:type="dxa" w:w="28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color w:val="333333"/>
                <w:sz w:val="20"/>
                <w:szCs w:val="20"/>
              </w:rPr>
              <w:t xml:space="preserve">AOR + 104d · 2026 data n=74</w:t>
            </w:r>
          </w:p>
        </w:tc>
        <w:tc>
          <w:tcPr>
            <w:tcW w:type="dxa" w:w="20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color w:val="333333"/>
                <w:sz w:val="20"/>
                <w:szCs w:val="20"/>
              </w:rPr>
              <w:t xml:space="preserve">Jun 16, 2026</w:t>
            </w:r>
          </w:p>
        </w:tc>
        <w:tc>
          <w:tcPr>
            <w:tcW w:type="dxa" w:w="176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color w:val="333333"/>
                <w:sz w:val="20"/>
                <w:szCs w:val="20"/>
              </w:rPr>
              <w:t xml:space="preserve">✓ Correct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P1 invite P75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AOR + 117d · 2026 data n=74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Jun 29, 2026</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Correct</w:t>
            </w:r>
          </w:p>
        </w:tc>
      </w:tr>
      <w:tr>
        <w:tc>
          <w:tcPr>
            <w:tcW w:type="dxa" w:w="28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color w:val="333333"/>
                <w:sz w:val="20"/>
                <w:szCs w:val="20"/>
              </w:rPr>
              <w:t xml:space="preserve">Late BIL flag</w:t>
            </w:r>
          </w:p>
        </w:tc>
        <w:tc>
          <w:tcPr>
            <w:tcW w:type="dxa" w:w="28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color w:val="333333"/>
                <w:sz w:val="20"/>
                <w:szCs w:val="20"/>
              </w:rPr>
              <w:t xml:space="preserve">BIL day ≥ 60 → flag · BIL=Day 65</w:t>
            </w:r>
          </w:p>
        </w:tc>
        <w:tc>
          <w:tcPr>
            <w:tcW w:type="dxa" w:w="20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color w:val="333333"/>
                <w:sz w:val="20"/>
                <w:szCs w:val="20"/>
              </w:rPr>
              <w:t xml:space="preserve">Flagged ⚠</w:t>
            </w:r>
          </w:p>
        </w:tc>
        <w:tc>
          <w:tcPr>
            <w:tcW w:type="dxa" w:w="176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color w:val="333333"/>
                <w:sz w:val="20"/>
                <w:szCs w:val="20"/>
              </w:rPr>
              <w:t xml:space="preserve">✓ Correct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Late BIL adj. median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Late BIL cohort corrected median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~240d+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Correct</w:t>
            </w:r>
          </w:p>
        </w:tc>
      </w:tr>
      <w:tr>
        <w:tc>
          <w:tcPr>
            <w:tcW w:type="dxa" w:w="28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color w:val="333333"/>
                <w:sz w:val="20"/>
                <w:szCs w:val="20"/>
              </w:rPr>
              <w:t xml:space="preserve">Expected approval window</w:t>
            </w:r>
          </w:p>
        </w:tc>
        <w:tc>
          <w:tcPr>
            <w:tcW w:type="dxa" w:w="28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color w:val="333333"/>
                <w:sz w:val="20"/>
                <w:szCs w:val="20"/>
              </w:rPr>
              <w:t xml:space="preserve">P25 to P75 range</w:t>
            </w:r>
          </w:p>
        </w:tc>
        <w:tc>
          <w:tcPr>
            <w:tcW w:type="dxa" w:w="20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color w:val="333333"/>
                <w:sz w:val="20"/>
                <w:szCs w:val="20"/>
              </w:rPr>
              <w:t xml:space="preserve">Aug 26 – Nov 4, 2026</w:t>
            </w:r>
          </w:p>
        </w:tc>
        <w:tc>
          <w:tcPr>
            <w:tcW w:type="dxa" w:w="176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color w:val="333333"/>
                <w:sz w:val="20"/>
                <w:szCs w:val="20"/>
              </w:rPr>
              <w:t xml:space="preserve">✓ Correct</w:t>
            </w:r>
          </w:p>
        </w:tc>
      </w:tr>
      <w:tr>
        <w:tc>
          <w:tcPr>
            <w:tcW w:type="dxa" w:w="2800"/>
            <w:tcBorders>
              <w:top w:val="single" w:color="CCCCCC" w:sz="1"/>
              <w:left w:val="single" w:color="CCCCCC" w:sz="1"/>
              <w:bottom w:val="single" w:color="CCCCCC" w:sz="1"/>
              <w:right w:val="single" w:color="CCCCCC" w:sz="1"/>
            </w:tcBorders>
            <w:shd w:fill="FFF3F3" w:val="clear"/>
            <w:tcMar>
              <w:top w:type="dxa" w:w="80"/>
              <w:left w:type="dxa" w:w="120"/>
              <w:bottom w:type="dxa" w:w="80"/>
              <w:right w:type="dxa" w:w="120"/>
            </w:tcMar>
          </w:tcPr>
          <w:p>
            <w:r>
              <w:rPr>
                <w:rFonts w:ascii="Arial" w:cs="Arial" w:eastAsia="Arial" w:hAnsi="Arial"/>
                <w:b w:val="false"/>
                <w:bCs w:val="false"/>
                <w:color w:val="8B0000"/>
                <w:sz w:val="20"/>
                <w:szCs w:val="20"/>
              </w:rPr>
              <w:t xml:space="preserve">Old algorithm (discarded)</w:t>
            </w:r>
          </w:p>
        </w:tc>
        <w:tc>
          <w:tcPr>
            <w:tcW w:type="dxa" w:w="2800"/>
            <w:tcBorders>
              <w:top w:val="single" w:color="CCCCCC" w:sz="1"/>
              <w:left w:val="single" w:color="CCCCCC" w:sz="1"/>
              <w:bottom w:val="single" w:color="CCCCCC" w:sz="1"/>
              <w:right w:val="single" w:color="CCCCCC" w:sz="1"/>
            </w:tcBorders>
            <w:shd w:fill="FFF3F3" w:val="clear"/>
            <w:tcMar>
              <w:top w:type="dxa" w:w="80"/>
              <w:left w:type="dxa" w:w="120"/>
              <w:bottom w:type="dxa" w:w="80"/>
              <w:right w:type="dxa" w:w="120"/>
            </w:tcMar>
          </w:tcPr>
          <w:p>
            <w:r>
              <w:rPr>
                <w:rFonts w:ascii="Arial" w:cs="Arial" w:eastAsia="Arial" w:hAnsi="Arial"/>
                <w:b w:val="false"/>
                <w:bCs w:val="false"/>
                <w:color w:val="8B0000"/>
                <w:sz w:val="20"/>
                <w:szCs w:val="20"/>
              </w:rPr>
              <w:t xml:space="preserve">Simple median, all cohorts, no correction</w:t>
            </w:r>
          </w:p>
        </w:tc>
        <w:tc>
          <w:tcPr>
            <w:tcW w:type="dxa" w:w="2000"/>
            <w:tcBorders>
              <w:top w:val="single" w:color="CCCCCC" w:sz="1"/>
              <w:left w:val="single" w:color="CCCCCC" w:sz="1"/>
              <w:bottom w:val="single" w:color="CCCCCC" w:sz="1"/>
              <w:right w:val="single" w:color="CCCCCC" w:sz="1"/>
            </w:tcBorders>
            <w:shd w:fill="FFF3F3" w:val="clear"/>
            <w:tcMar>
              <w:top w:type="dxa" w:w="80"/>
              <w:left w:type="dxa" w:w="120"/>
              <w:bottom w:type="dxa" w:w="80"/>
              <w:right w:type="dxa" w:w="120"/>
            </w:tcMar>
          </w:tcPr>
          <w:p>
            <w:r>
              <w:rPr>
                <w:rFonts w:ascii="Arial" w:cs="Arial" w:eastAsia="Arial" w:hAnsi="Arial"/>
                <w:b w:val="false"/>
                <w:bCs w:val="false"/>
                <w:color w:val="8B0000"/>
                <w:sz w:val="20"/>
                <w:szCs w:val="20"/>
              </w:rPr>
              <w:t xml:space="preserve">123 days / 59%</w:t>
            </w:r>
          </w:p>
        </w:tc>
        <w:tc>
          <w:tcPr>
            <w:tcW w:type="dxa" w:w="1760"/>
            <w:tcBorders>
              <w:top w:val="single" w:color="CCCCCC" w:sz="1"/>
              <w:left w:val="single" w:color="CCCCCC" w:sz="1"/>
              <w:bottom w:val="single" w:color="CCCCCC" w:sz="1"/>
              <w:right w:val="single" w:color="CCCCCC" w:sz="1"/>
            </w:tcBorders>
            <w:shd w:fill="FFF3F3" w:val="clear"/>
            <w:tcMar>
              <w:top w:type="dxa" w:w="80"/>
              <w:left w:type="dxa" w:w="120"/>
              <w:bottom w:type="dxa" w:w="80"/>
              <w:right w:type="dxa" w:w="120"/>
            </w:tcMar>
          </w:tcPr>
          <w:p>
            <w:r>
              <w:rPr>
                <w:rFonts w:ascii="Arial" w:cs="Arial" w:eastAsia="Arial" w:hAnsi="Arial"/>
                <w:b w:val="false"/>
                <w:bCs w:val="false"/>
                <w:color w:val="8B0000"/>
                <w:sz w:val="20"/>
                <w:szCs w:val="20"/>
              </w:rPr>
              <w:t xml:space="preserve">✗ Deprecated</w:t>
            </w:r>
          </w:p>
        </w:tc>
      </w:tr>
    </w:tbl>
    <w:p>
      <w:pPr>
        <w:spacing w:after="80" w:before="60"/>
      </w:pPr>
      <w:r>
        <w:rPr>
          <w:rFonts w:ascii="Arial" w:cs="Arial" w:eastAsia="Arial" w:hAnsi="Arial"/>
          <w:i/>
          <w:iCs/>
          <w:color w:val="555555"/>
          <w:sz w:val="18"/>
          <w:szCs w:val="18"/>
        </w:rPr>
        <w:t xml:space="preserve">All dashboard values are confirmed correct against the recency-weighted algorithm with survival bias correction. The deprecated 123-day figure and 59% journey percentage from the old algorithm are not displayed anywhere in the v2.0 dashboard.</w:t>
      </w:r>
    </w:p>
    <w:p>
      <w:pPr>
        <w:spacing w:after="80" w:before="80"/>
      </w:pPr>
    </w:p>
    <w:p>
      <w:pPr>
        <w:pStyle w:val="Heading1"/>
        <w:spacing w:after="160" w:before="360"/>
      </w:pPr>
      <w:r>
        <w:rPr>
          <w:rFonts w:ascii="Arial" w:cs="Arial" w:eastAsia="Arial" w:hAnsi="Arial"/>
          <w:b/>
          <w:bCs/>
          <w:color w:val="1A2332"/>
          <w:sz w:val="36"/>
          <w:szCs w:val="36"/>
        </w:rPr>
        <w:t xml:space="preserve">9. Algorithm Maintenance &amp; Recalibration</w:t>
      </w:r>
    </w:p>
    <w:p>
      <w:pPr>
        <w:spacing w:after="80" w:before="80"/>
      </w:pPr>
      <w:r>
        <w:rPr>
          <w:rFonts w:ascii="Arial" w:cs="Arial" w:eastAsia="Arial" w:hAnsi="Arial"/>
          <w:b w:val="false"/>
          <w:bCs w:val="false"/>
          <w:i w:val="false"/>
          <w:iCs w:val="false"/>
          <w:color w:val="333333"/>
          <w:sz w:val="22"/>
          <w:szCs w:val="22"/>
        </w:rPr>
        <w:t xml:space="preserve">The recency-weighted algorithm requires periodic recalibration as new data arrives. The calibration should be reviewed when:</w:t>
      </w:r>
    </w:p>
    <w:p>
      <w:pPr>
        <w:pStyle w:val="ListParagraph"/>
        <w:numPr>
          <w:ilvl w:val="0"/>
          <w:numId w:val="2"/>
        </w:numPr>
        <w:spacing w:after="60" w:before="60"/>
      </w:pPr>
      <w:r>
        <w:rPr>
          <w:rFonts w:ascii="Arial" w:cs="Arial" w:eastAsia="Arial" w:hAnsi="Arial"/>
          <w:color w:val="333333"/>
          <w:sz w:val="22"/>
          <w:szCs w:val="22"/>
        </w:rPr>
        <w:t xml:space="preserve">A new quarter begins (Jan, Apr, Jul, Oct)</w:t>
      </w:r>
    </w:p>
    <w:p>
      <w:pPr>
        <w:pStyle w:val="ListParagraph"/>
        <w:numPr>
          <w:ilvl w:val="0"/>
          <w:numId w:val="2"/>
        </w:numPr>
        <w:spacing w:after="60" w:before="60"/>
      </w:pPr>
      <w:r>
        <w:rPr>
          <w:rFonts w:ascii="Arial" w:cs="Arial" w:eastAsia="Arial" w:hAnsi="Arial"/>
          <w:color w:val="333333"/>
          <w:sz w:val="22"/>
          <w:szCs w:val="22"/>
        </w:rPr>
        <w:t xml:space="preserve">The weekly sync adds 50+ new completed eCOPR cases</w:t>
      </w:r>
    </w:p>
    <w:p>
      <w:pPr>
        <w:pStyle w:val="ListParagraph"/>
        <w:numPr>
          <w:ilvl w:val="0"/>
          <w:numId w:val="2"/>
        </w:numPr>
        <w:spacing w:after="60" w:before="60"/>
      </w:pPr>
      <w:r>
        <w:rPr>
          <w:rFonts w:ascii="Arial" w:cs="Arial" w:eastAsia="Arial" w:hAnsi="Arial"/>
          <w:color w:val="333333"/>
          <w:sz w:val="22"/>
          <w:szCs w:val="22"/>
        </w:rPr>
        <w:t xml:space="preserve">IRCC announces a processing time change or policy update</w:t>
      </w:r>
    </w:p>
    <w:p>
      <w:pPr>
        <w:pStyle w:val="ListParagraph"/>
        <w:numPr>
          <w:ilvl w:val="0"/>
          <w:numId w:val="2"/>
        </w:numPr>
        <w:spacing w:after="60" w:before="60"/>
      </w:pPr>
      <w:r>
        <w:rPr>
          <w:rFonts w:ascii="Arial" w:cs="Arial" w:eastAsia="Arial" w:hAnsi="Arial"/>
          <w:color w:val="333333"/>
          <w:sz w:val="22"/>
          <w:szCs w:val="22"/>
        </w:rPr>
        <w:t xml:space="preserve">The still-waiting median for the oldest eligible cohort exceeds 300 days</w:t>
      </w:r>
    </w:p>
    <w:p>
      <w:pPr>
        <w:spacing w:after="80" w:before="80"/>
      </w:pPr>
    </w:p>
    <w:p>
      <w:pPr>
        <w:pStyle w:val="Heading2"/>
        <w:spacing w:after="120" w:before="280"/>
      </w:pPr>
      <w:r>
        <w:rPr>
          <w:rFonts w:ascii="Arial" w:cs="Arial" w:eastAsia="Arial" w:hAnsi="Arial"/>
          <w:b/>
          <w:bCs/>
          <w:color w:val="1A2332"/>
          <w:sz w:val="28"/>
          <w:szCs w:val="28"/>
        </w:rPr>
        <w:t xml:space="preserve">9.1  Recalibration Steps</w:t>
      </w:r>
    </w:p>
    <w:p>
      <w:pPr>
        <w:pStyle w:val="ListParagraph"/>
        <w:numPr>
          <w:ilvl w:val="0"/>
          <w:numId w:val="3"/>
        </w:numPr>
        <w:spacing w:after="60" w:before="60"/>
      </w:pPr>
      <w:r>
        <w:rPr>
          <w:rFonts w:ascii="Arial" w:cs="Arial" w:eastAsia="Arial" w:hAnsi="Arial"/>
          <w:color w:val="333333"/>
          <w:sz w:val="22"/>
          <w:szCs w:val="22"/>
        </w:rPr>
        <w:t xml:space="preserve">Filter dataset to AOR &gt;= cutoff_date (computed from §8b formula, not hardcoded)</w:t>
      </w:r>
    </w:p>
    <w:p>
      <w:pPr>
        <w:pStyle w:val="ListParagraph"/>
        <w:numPr>
          <w:ilvl w:val="0"/>
          <w:numId w:val="3"/>
        </w:numPr>
        <w:spacing w:after="60" w:before="60"/>
      </w:pPr>
      <w:r>
        <w:rPr>
          <w:rFonts w:ascii="Arial" w:cs="Arial" w:eastAsia="Arial" w:hAnsi="Arial"/>
          <w:color w:val="333333"/>
          <w:sz w:val="22"/>
          <w:szCs w:val="22"/>
        </w:rPr>
        <w:t xml:space="preserve">Separate into completed and still-waiting groups</w:t>
      </w:r>
    </w:p>
    <w:p>
      <w:pPr>
        <w:pStyle w:val="ListParagraph"/>
        <w:numPr>
          <w:ilvl w:val="0"/>
          <w:numId w:val="3"/>
        </w:numPr>
        <w:spacing w:after="60" w:before="60"/>
      </w:pPr>
      <w:r>
        <w:rPr>
          <w:rFonts w:ascii="Arial" w:cs="Arial" w:eastAsia="Arial" w:hAnsi="Arial"/>
          <w:color w:val="333333"/>
          <w:sz w:val="22"/>
          <w:szCs w:val="22"/>
        </w:rPr>
        <w:t xml:space="preserve">Apply imputation: still-waiting days = elapsed + 30</w:t>
      </w:r>
    </w:p>
    <w:p>
      <w:pPr>
        <w:pStyle w:val="ListParagraph"/>
        <w:numPr>
          <w:ilvl w:val="0"/>
          <w:numId w:val="3"/>
        </w:numPr>
        <w:spacing w:after="60" w:before="60"/>
      </w:pPr>
      <w:r>
        <w:rPr>
          <w:rFonts w:ascii="Arial" w:cs="Arial" w:eastAsia="Arial" w:hAnsi="Arial"/>
          <w:color w:val="333333"/>
          <w:sz w:val="22"/>
          <w:szCs w:val="22"/>
        </w:rPr>
        <w:t xml:space="preserve">Apply recency weights: 2x for last 90d completions, 1x for 91-180d, 0.5x beyond</w:t>
      </w:r>
    </w:p>
    <w:p>
      <w:pPr>
        <w:pStyle w:val="ListParagraph"/>
        <w:numPr>
          <w:ilvl w:val="0"/>
          <w:numId w:val="3"/>
        </w:numPr>
        <w:spacing w:after="60" w:before="60"/>
      </w:pPr>
      <w:r>
        <w:rPr>
          <w:rFonts w:ascii="Arial" w:cs="Arial" w:eastAsia="Arial" w:hAnsi="Arial"/>
          <w:color w:val="333333"/>
          <w:sz w:val="22"/>
          <w:szCs w:val="22"/>
        </w:rPr>
        <w:t xml:space="preserve">Compute weighted P25, P50, P75, P90</w:t>
      </w:r>
    </w:p>
    <w:p>
      <w:pPr>
        <w:pStyle w:val="ListParagraph"/>
        <w:numPr>
          <w:ilvl w:val="0"/>
          <w:numId w:val="3"/>
        </w:numPr>
        <w:spacing w:after="60" w:before="60"/>
      </w:pPr>
      <w:r>
        <w:rPr>
          <w:rFonts w:ascii="Arial" w:cs="Arial" w:eastAsia="Arial" w:hAnsi="Arial"/>
          <w:color w:val="333333"/>
          <w:sz w:val="22"/>
          <w:szCs w:val="22"/>
        </w:rPr>
        <w:t xml:space="preserve">Compare to previous calibration — flag if median shifts by more than 14 days</w:t>
      </w:r>
    </w:p>
    <w:p>
      <w:pPr>
        <w:pStyle w:val="ListParagraph"/>
        <w:numPr>
          <w:ilvl w:val="0"/>
          <w:numId w:val="3"/>
        </w:numPr>
        <w:spacing w:after="60" w:before="60"/>
      </w:pPr>
      <w:r>
        <w:rPr>
          <w:rFonts w:ascii="Arial" w:cs="Arial" w:eastAsia="Arial" w:hAnsi="Arial"/>
          <w:color w:val="333333"/>
          <w:sz w:val="22"/>
          <w:szCs w:val="22"/>
        </w:rPr>
        <w:t xml:space="preserve">Update all dashboard estimates and document change in changelog</w:t>
      </w:r>
    </w:p>
    <w:p>
      <w:pPr>
        <w:spacing w:after="80" w:before="80"/>
      </w:pPr>
    </w:p>
    <w:p>
      <w:pPr>
        <w:pBdr>
          <w:bottom w:val="single" w:color="DDDDDD" w:sz="4" w:space="1"/>
        </w:pBdr>
        <w:spacing w:after="160" w:before="160"/>
      </w:pPr>
    </w:p>
    <w:p>
      <w:pPr>
        <w:spacing w:after="40" w:before="200"/>
        <w:jc w:val="center"/>
      </w:pPr>
      <w:r>
        <w:rPr>
          <w:rFonts w:ascii="Arial" w:cs="Arial" w:eastAsia="Arial" w:hAnsi="Arial"/>
          <w:i/>
          <w:iCs/>
          <w:color w:val="6B7280"/>
          <w:sz w:val="20"/>
          <w:szCs w:val="20"/>
        </w:rPr>
        <w:t xml:space="preserve">AORTrack v2.0 — Recency-Weighted Algorithm  |  ~7 month median (May 2026)</w:t>
      </w:r>
    </w:p>
    <w:p>
      <w:pPr>
        <w:jc w:val="center"/>
      </w:pPr>
      <w:r>
        <w:rPr>
          <w:rFonts w:ascii="Arial" w:cs="Arial" w:eastAsia="Arial" w:hAnsi="Arial"/>
          <w:color w:val="6B7280"/>
          <w:sz w:val="18"/>
          <w:szCs w:val="18"/>
        </w:rPr>
        <w:t xml:space="preserve">track.getnorthpath.com  |  Primary Key: Case #  |  Sync: Weekly  |  Source: myimmitracker.com</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AORTrack Algorithm Documentation   |   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2332"/>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233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2026-05-16T12:39:27.584Z</dcterms:created>
  <dcterms:modified xsi:type="dcterms:W3CDTF">2026-05-16T12:39:27.584Z</dcterms:modified>
</cp:coreProperties>
</file>

<file path=docProps/custom.xml><?xml version="1.0" encoding="utf-8"?>
<Properties xmlns="http://schemas.openxmlformats.org/officeDocument/2006/custom-properties" xmlns:vt="http://schemas.openxmlformats.org/officeDocument/2006/docPropsVTypes"/>
</file>