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Granules India Ltd (NSE: GRANULES)</w:t>
      </w:r>
    </w:p>
    <w:p>
      <w:pPr>
        <w:spacing w:after="200"/>
      </w:pPr>
      <w:r>
        <w:t xml:space="preserve">Single-name pre-PEAD deep dive — capacity unlock, utilisation ramp and quarterly earnings roadmap to FY28</w:t>
      </w:r>
    </w:p>
    <w:p>
      <w:pPr>
        <w:spacing w:after="100"/>
      </w:pPr>
      <w:r>
        <w:rPr>
          <w:i/>
          <w:iCs/>
          <w:sz w:val="18"/>
          <w:szCs w:val="18"/>
        </w:rPr>
        <w:t xml:space="preserve">Prepared for Darshan | Data as of Q4FY26 (Mar-2026) results, filed 29-Apr-2026 | Current date: 11-Jul-2026 | Adapted from the pre-pead-scanner skill, run single-name (not a scan) per request.</w:t>
      </w:r>
    </w:p>
    <w:p>
      <w:pPr>
        <w:pStyle w:val="Heading1"/>
        <w:spacing w:after="120" w:before="240"/>
      </w:pPr>
      <w:r>
        <w:t xml:space="preserve">1. Executive summary</w:t>
      </w:r>
    </w:p>
    <w:p>
      <w:pPr>
        <w:pStyle w:val="ListParagraph"/>
        <w:numPr>
          <w:ilvl w:val="0"/>
          <w:numId w:val="1"/>
        </w:numPr>
        <w:spacing w:after="60"/>
      </w:pPr>
      <w:r>
        <w:t xml:space="preserve">FY26 was a stabilisation year: revenue ₹53,656mn (+20% YoY), EBITDA ₹11,851mn (+25% YoY, margin 22.1%, +100bps), PAT ₹5,950mn (+19% YoY). Six consecutive quarters of sequential revenue growth through Q4FY26.</w:t>
      </w:r>
    </w:p>
    <w:p>
      <w:pPr>
        <w:pStyle w:val="ListParagraph"/>
        <w:numPr>
          <w:ilvl w:val="0"/>
          <w:numId w:val="1"/>
        </w:numPr>
        <w:spacing w:after="60"/>
      </w:pPr>
      <w:r>
        <w:t xml:space="preserve">Two structural unlocks now inflect FY27-28 earnings, both evidence-backed rather than guided rhetoric: (a) Peptide CDMO (Ascelis/Senn Chemicals) turned EBITDA-positive for the first time in Q4FY26 and management targets full-year PAT-positive in FY27 — a genuine new margin-accretive revenue pillar (65%+ blended gross margin uplift on incremental CDMO volume); (b) the GLS Genome Valley 10Bn-dosage facility received full USFDA approval, adding ~40% formulation capacity and enabling multi-site manufacturing just as Complex Gx mix rises.</w:t>
      </w:r>
    </w:p>
    <w:p>
      <w:pPr>
        <w:pStyle w:val="ListParagraph"/>
        <w:numPr>
          <w:ilvl w:val="0"/>
          <w:numId w:val="1"/>
        </w:numPr>
        <w:spacing w:after="60"/>
      </w:pPr>
      <w:r>
        <w:t xml:space="preserve">Two further capacity events land in FY27: a brownfield peptide-intermediate plant in India (following the Zurich capacity build) and commercialisation of the Vizag DCDA (dicyandiamide, a metformin backward-integration intermediate) pilot — both explicitly guided by management to reach 'quick utilisation turnaround within the year' once online.</w:t>
      </w:r>
    </w:p>
    <w:p>
      <w:pPr>
        <w:pStyle w:val="ListParagraph"/>
        <w:numPr>
          <w:ilvl w:val="0"/>
          <w:numId w:val="1"/>
        </w:numPr>
        <w:spacing w:after="60"/>
      </w:pPr>
      <w:r>
        <w:t xml:space="preserve">Composite read: earnings growth in FY27-28 is now increasingly a function of utilisation catching up to already-installed/being-installed capacity (operating leverage) rather than fresh capex — the classic capex-live-operating-leverage PAT lever the pre-pead framework weights most heavily. Net debt/EBITDA at 0.34x (from 0.75x) also gives room for the second PAT lever (deleverage), though management guided a flat-to-slightly-up net debt in FY27 given the ₹600cr broad-based capex plan.</w:t>
      </w:r>
    </w:p>
    <w:p>
      <w:pPr>
        <w:pStyle w:val="ListParagraph"/>
        <w:numPr>
          <w:ilvl w:val="0"/>
          <w:numId w:val="1"/>
        </w:numPr>
        <w:spacing w:after="60"/>
      </w:pPr>
      <w:r>
        <w:t xml:space="preserve">What could go wrong is covered in Section 7 — Gagillapur's US FDA reinspection is still awaited, CDMO revenue is project-lumpy on a very low base, and RM/freight cost inflation (West Asia-linked) creates margin uncertainty management itself flagged as 'uncertain' going into FY27.</w:t>
      </w:r>
    </w:p>
    <w:p>
      <w:pPr>
        <w:pStyle w:val="Heading1"/>
        <w:spacing w:after="120" w:before="240"/>
      </w:pPr>
      <w:r>
        <w:t xml:space="preserve">2. Business model: four segments, one integrated value chain</w:t>
      </w:r>
    </w:p>
    <w:p>
      <w:pPr>
        <w:spacing w:after="100"/>
      </w:pPr>
      <w:r>
        <w:t xml:space="preserve">Granules is a vertically integrated pharma manufacturer spanning four reporting segments — API, PFI (Pharmaceutical Formulation Intermediates), FD (Finished Dosages) and, since the FY26 Senn Chemicals acquisition, Peptide CDMO. The core moat is captive API→PFI→FD integration for high-volume molecules (paracetamol, metformin, guaifenesin, ibuprofen, methocarbamol) which is being layered with a shift into Complex Generics, MUPS and now peptides — each explained below with scale, TAM, margin character, capacity, utilisation and revenue contribution.</w:t>
      </w:r>
    </w:p>
    <w:p>
      <w:pPr>
        <w:pStyle w:val="Heading2"/>
        <w:spacing w:after="120" w:before="240"/>
      </w:pPr>
      <w:r>
        <w:t xml:space="preserve">2.1 API (Active Pharmaceutical Ingredient)</w:t>
      </w:r>
    </w:p>
    <w:p>
      <w:pPr>
        <w:pStyle w:val="ListParagraph"/>
        <w:numPr>
          <w:ilvl w:val="0"/>
          <w:numId w:val="1"/>
        </w:numPr>
        <w:spacing w:after="60"/>
      </w:pPr>
      <w:r>
        <w:t xml:space="preserve">What it is: bulk drug substance manufacture — the base chemistry Granules pioneered in India for paracetamol before diversifying.</w:t>
      </w:r>
    </w:p>
    <w:p>
      <w:pPr>
        <w:pStyle w:val="ListParagraph"/>
        <w:numPr>
          <w:ilvl w:val="0"/>
          <w:numId w:val="1"/>
        </w:numPr>
        <w:spacing w:after="60"/>
      </w:pPr>
      <w:r>
        <w:t xml:space="preserve">Why it matters: feeds captive PFI/FD downstream (margin capture per molecule) and is sold externally; growth here is increasingly new-molecule-led rather than volume/pricing-led — management explicitly attributed Q4FY26's +33% YoY API growth to newly launched APIs, not pricing.</w:t>
      </w:r>
    </w:p>
    <w:p>
      <w:pPr>
        <w:pStyle w:val="ListParagraph"/>
        <w:numPr>
          <w:ilvl w:val="0"/>
          <w:numId w:val="1"/>
        </w:numPr>
        <w:spacing w:after="60"/>
      </w:pPr>
      <w:r>
        <w:t xml:space="preserve">Scale &amp; capacity: Bonthapally 34,560 TPA, Jeedimetla 4,800 TPA, Vizag Unit-IV 380 KL/PA + Unit-V 15 KL/PA — combined installed API capacity ~39,360 TPA across the group.</w:t>
      </w:r>
    </w:p>
    <w:p>
      <w:pPr>
        <w:pStyle w:val="ListParagraph"/>
        <w:numPr>
          <w:ilvl w:val="0"/>
          <w:numId w:val="1"/>
        </w:numPr>
        <w:spacing w:after="60"/>
      </w:pPr>
      <w:r>
        <w:t xml:space="preserve">Margins: lowest-margin of the four segments in isolation, but its real value is enabling FD margin capture — self-sufficiency in paracetamol/metformin APIs was cited as a direct driver of the FY26 gross-margin expansion (50%→65% over 4 years).</w:t>
      </w:r>
    </w:p>
    <w:p>
      <w:pPr>
        <w:pStyle w:val="ListParagraph"/>
        <w:numPr>
          <w:ilvl w:val="0"/>
          <w:numId w:val="1"/>
        </w:numPr>
        <w:spacing w:after="60"/>
      </w:pPr>
      <w:r>
        <w:t xml:space="preserve">Revenue contribution: API +10% YoY (FY26) / +33% YoY (Q4FY26); exact rupee split not separately disclosed in the presentation, shown only as a mix-shift chart alongside FD/PFI/CDMO.</w:t>
      </w:r>
    </w:p>
    <w:p>
      <w:pPr>
        <w:pStyle w:val="Heading2"/>
        <w:spacing w:after="120" w:before="240"/>
      </w:pPr>
      <w:r>
        <w:t xml:space="preserve">2.2 PFI (Pharmaceutical Formulation Intermediates)</w:t>
      </w:r>
    </w:p>
    <w:p>
      <w:pPr>
        <w:pStyle w:val="ListParagraph"/>
        <w:numPr>
          <w:ilvl w:val="0"/>
          <w:numId w:val="1"/>
        </w:numPr>
        <w:spacing w:after="60"/>
      </w:pPr>
      <w:r>
        <w:t xml:space="preserve">What it is: the intermediate value-added step between API and finished dosage — captured margin that would otherwise accrue to a third-party formulator.</w:t>
      </w:r>
    </w:p>
    <w:p>
      <w:pPr>
        <w:pStyle w:val="ListParagraph"/>
        <w:numPr>
          <w:ilvl w:val="0"/>
          <w:numId w:val="1"/>
        </w:numPr>
        <w:spacing w:after="60"/>
      </w:pPr>
      <w:r>
        <w:t xml:space="preserve">Why it matters: PFI +25% YoY (FY26) was the fastest-growing of the three legacy segments, evidence the API→PFI→FD integration strategy is compounding, not just the FD headline.</w:t>
      </w:r>
    </w:p>
    <w:p>
      <w:pPr>
        <w:pStyle w:val="ListParagraph"/>
        <w:numPr>
          <w:ilvl w:val="0"/>
          <w:numId w:val="1"/>
        </w:numPr>
        <w:spacing w:after="60"/>
      </w:pPr>
      <w:r>
        <w:t xml:space="preserve">Scale &amp; capacity: Gagillapur PFI 23,200 TPA, Jeedimetla PFI 1,440 TPA.</w:t>
      </w:r>
    </w:p>
    <w:p>
      <w:pPr>
        <w:pStyle w:val="ListParagraph"/>
        <w:numPr>
          <w:ilvl w:val="0"/>
          <w:numId w:val="1"/>
        </w:numPr>
        <w:spacing w:after="60"/>
      </w:pPr>
      <w:r>
        <w:t xml:space="preserve">Margins: mid-tier — higher than standalone API, lower than complex FD, but the key gross-margin lever because it is where 'per-molecule margin' is unlocked (per the FY21-26 strategic-evolution slide: 'Entered Finished Dosages — unlocking per-molecule margin').</w:t>
      </w:r>
    </w:p>
    <w:p>
      <w:pPr>
        <w:pStyle w:val="ListParagraph"/>
        <w:numPr>
          <w:ilvl w:val="0"/>
          <w:numId w:val="1"/>
        </w:numPr>
        <w:spacing w:after="60"/>
      </w:pPr>
      <w:r>
        <w:t xml:space="preserve">Revenue contribution: PFI +25% YoY FY26, +9% YoY / -9% QoQ in Q4FY26 (quarter softness flagged as Gagillapur remediation-related capacity constraint, not demand).</w:t>
      </w:r>
    </w:p>
    <w:p>
      <w:pPr>
        <w:pStyle w:val="Heading2"/>
        <w:spacing w:after="120" w:before="240"/>
      </w:pPr>
      <w:r>
        <w:t xml:space="preserve">2.3 FD (Finished Dosages) — the core, now shifting up the complexity curve</w:t>
      </w:r>
    </w:p>
    <w:p>
      <w:pPr>
        <w:pStyle w:val="ListParagraph"/>
        <w:numPr>
          <w:ilvl w:val="0"/>
          <w:numId w:val="1"/>
        </w:numPr>
        <w:spacing w:after="60"/>
      </w:pPr>
      <w:r>
        <w:t xml:space="preserve">What it is: the largest segment at 74% of FY26 revenue, tablets/capsules sold direct to the regulated-market (US/EU) generics channel, increasingly via GPI (Granules Pharmaceuticals Inc., Virginia — the US-facing FD/distribution arm).</w:t>
      </w:r>
    </w:p>
    <w:p>
      <w:pPr>
        <w:pStyle w:val="ListParagraph"/>
        <w:numPr>
          <w:ilvl w:val="0"/>
          <w:numId w:val="1"/>
        </w:numPr>
        <w:spacing w:after="60"/>
      </w:pPr>
      <w:r>
        <w:t xml:space="preserve">Why it matters most: Complex Gx (MUPS, controlled substances, high-barrier CNS/ADHD, oncology) rose from 31% to 43% of FD mix in FY26 — the single biggest structural margin driver, since complex FD earns materially higher gross margin than commodity FD. TAM cited: ~$41bn in the US for the ANDA-under-approval basket (IQVIA, Dec-2025 MAT, branded+generic).</w:t>
      </w:r>
    </w:p>
    <w:p>
      <w:pPr>
        <w:pStyle w:val="ListParagraph"/>
        <w:numPr>
          <w:ilvl w:val="0"/>
          <w:numId w:val="1"/>
        </w:numPr>
        <w:spacing w:after="60"/>
      </w:pPr>
      <w:r>
        <w:t xml:space="preserve">Scale &amp; capacity: Gagillapur FD 26.8bn dosages, Genome Valley (GLS) FD 10bn dosages (newly USFDA-approved — +40% formulation capacity group-wide), GPI Virginia FD 1.5bn dosages, plus a dedicated Vizag oncology OSD plant and 2 OTC + 1 Rx packaging lines at GPAK (Virginia). Group annual FD dosage capacity: 39bn+.</w:t>
      </w:r>
    </w:p>
    <w:p>
      <w:pPr>
        <w:pStyle w:val="ListParagraph"/>
        <w:numPr>
          <w:ilvl w:val="0"/>
          <w:numId w:val="1"/>
        </w:numPr>
        <w:spacing w:after="60"/>
      </w:pPr>
      <w:r>
        <w:t xml:space="preserve">Margins: FY26 blended gross margin 65% (+355bps YoY), directly credited to the complex-Gx mix shift; oncology/CII-ADHD/MUPS filings (59 complex-Gx dossiers filed, 32 approved) are the forward pipeline for further mix improvement.</w:t>
      </w:r>
    </w:p>
    <w:p>
      <w:pPr>
        <w:pStyle w:val="ListParagraph"/>
        <w:numPr>
          <w:ilvl w:val="0"/>
          <w:numId w:val="1"/>
        </w:numPr>
        <w:spacing w:after="60"/>
      </w:pPr>
      <w:r>
        <w:t xml:space="preserve">Utilisation / newly unlocked capacity: GLS Genome Valley's 10bn-dosage MUPS + FD facility received EIR with VAI status in FY26 and 'Rx product shipments started' — this is the single largest near-term utilisation-ramp story: a +40% capacity base that was previously non-revenue-generating is now shipping commercial product into FY27, i.e., pure operating leverage with minimal incremental fixed cost.</w:t>
      </w:r>
    </w:p>
    <w:p>
      <w:pPr>
        <w:pStyle w:val="ListParagraph"/>
        <w:numPr>
          <w:ilvl w:val="0"/>
          <w:numId w:val="1"/>
        </w:numPr>
        <w:spacing w:after="60"/>
      </w:pPr>
      <w:r>
        <w:t xml:space="preserve">Revenue contribution: FD +16% YoY FY26 (+15% Q4FY26 YoY, +1% QoQ — Q4 sequential softness explained by Gagillapur output constraints during remediation, not demand).</w:t>
      </w:r>
    </w:p>
    <w:p>
      <w:pPr>
        <w:pStyle w:val="Heading2"/>
        <w:spacing w:after="120" w:before="240"/>
      </w:pPr>
      <w:r>
        <w:t xml:space="preserve">2.4 Peptide CDMO — Ascelis Peptides / Senn Chemicals AG (the new 4th pillar)</w:t>
      </w:r>
    </w:p>
    <w:p>
      <w:pPr>
        <w:pStyle w:val="ListParagraph"/>
        <w:numPr>
          <w:ilvl w:val="0"/>
          <w:numId w:val="1"/>
        </w:numPr>
        <w:spacing w:after="60"/>
      </w:pPr>
      <w:r>
        <w:t xml:space="preserve">What it is: contract development &amp; manufacturing of peptide APIs and intermediates (pharma) plus TFA-free cosmetic peptides, via the Senn Chemicals acquisition in Zurich (60+ years of peptide-synthesis heritage) and the Ascelis Peptides subsidiary; India R&amp;D anchored at a Peptide Centre of Excellence at IIT Hyderabad.</w:t>
      </w:r>
    </w:p>
    <w:p>
      <w:pPr>
        <w:pStyle w:val="ListParagraph"/>
        <w:numPr>
          <w:ilvl w:val="0"/>
          <w:numId w:val="1"/>
        </w:numPr>
        <w:spacing w:after="60"/>
      </w:pPr>
      <w:r>
        <w:t xml:space="preserve">Why it matters / TAM: management frames this against the GLP-1/peptide-therapeutics boom — a 'complete blue ocean' given Granules' near-zero base; no formal TAM figure was disclosed (unlike the $41bn FD number), which is itself a gap worth flagging.</w:t>
      </w:r>
    </w:p>
    <w:p>
      <w:pPr>
        <w:pStyle w:val="ListParagraph"/>
        <w:numPr>
          <w:ilvl w:val="0"/>
          <w:numId w:val="1"/>
        </w:numPr>
        <w:spacing w:after="60"/>
      </w:pPr>
      <w:r>
        <w:t xml:space="preserve">Scale: FY26 revenue ₹1,593mn (~3% of group revenue) — Q4FY26 CDMO revenue grew from ₹330mn to ₹700mn sequentially (+114% QoQ per the presentation), still a small base.</w:t>
      </w:r>
    </w:p>
    <w:p>
      <w:pPr>
        <w:pStyle w:val="ListParagraph"/>
        <w:numPr>
          <w:ilvl w:val="0"/>
          <w:numId w:val="1"/>
        </w:numPr>
        <w:spacing w:after="60"/>
      </w:pPr>
      <w:r>
        <w:t xml:space="preserve">Margins: the single highest-margin segment in the portfolio — management directly attributed FY26 and Q4FY26 gross-margin expansion primarily to CDMO mix, not FD complexity alone. Ascelis/Senn moved to EBITDA-positive in Q3 (calendar) post-acquisition and Q4FY26 was the first quarter of positive EBITDA for the whole group's CDMO line.</w:t>
      </w:r>
    </w:p>
    <w:p>
      <w:pPr>
        <w:pStyle w:val="ListParagraph"/>
        <w:numPr>
          <w:ilvl w:val="0"/>
          <w:numId w:val="1"/>
        </w:numPr>
        <w:spacing w:after="60"/>
      </w:pPr>
      <w:r>
        <w:t xml:space="preserve">Capacity &amp; expansion: capacity is being built 'concurrently' with customer program progression, not ahead of demand — management's own words. Current pipeline: infrastructure upgrades and 'next phase of peptide API capacity' at Zurich; in India, a brownfield peptide-intermediate manufacturing facility is coming 'over the coming months' (i.e., expected in FY27), to be followed by peptide API capacity in India 'at the appropriate stage.' Capex tag for this vertical is bundled into the broader ₹600cr FY27 capex envelope, not separately broken out.</w:t>
      </w:r>
    </w:p>
    <w:p>
      <w:pPr>
        <w:pStyle w:val="ListParagraph"/>
        <w:numPr>
          <w:ilvl w:val="0"/>
          <w:numId w:val="1"/>
        </w:numPr>
        <w:spacing w:after="60"/>
      </w:pPr>
      <w:r>
        <w:t xml:space="preserve">Utilisation: management stated Q4FY26 utilisation was 'at a healthy level' on the current (small) capacity base, with new Zurich/India capacity expected to reach 'quick... full utilisation... within the year itself' once commissioned in H2FY27 — this is the cleanest capex-live-operating-leverage setup in the portfolio given the near-zero fixed-cost base being scaled.</w:t>
      </w:r>
    </w:p>
    <w:p>
      <w:pPr>
        <w:pStyle w:val="ListParagraph"/>
        <w:numPr>
          <w:ilvl w:val="0"/>
          <w:numId w:val="1"/>
        </w:numPr>
        <w:spacing w:after="60"/>
      </w:pPr>
      <w:r>
        <w:t xml:space="preserve">Guidance: FY27 target is annual PAT-positive for the CDMO platform (quarter-to-quarter variability acknowledged given project-driven, milestone-based revenue recognition).</w:t>
      </w:r>
    </w:p>
    <w:p>
      <w:pPr>
        <w:pStyle w:val="Heading2"/>
        <w:spacing w:after="120" w:before="240"/>
      </w:pPr>
      <w:r>
        <w:t xml:space="preserve">2.5 Backward integration: DCDA (Vizag) — Granules CZRO</w:t>
      </w:r>
    </w:p>
    <w:p>
      <w:pPr>
        <w:pStyle w:val="ListParagraph"/>
        <w:numPr>
          <w:ilvl w:val="0"/>
          <w:numId w:val="1"/>
        </w:numPr>
        <w:spacing w:after="60"/>
      </w:pPr>
      <w:r>
        <w:t xml:space="preserve">What it is: dicyandiamide (DCDA), a key raw material input for metformin manufacture — Granules is building what it calls the only DCDA plant outside China, at Vizag, under the PLI scheme (a 2024-guided ~108 TPA pilot, since evolved into a larger commercial project).</w:t>
      </w:r>
    </w:p>
    <w:p>
      <w:pPr>
        <w:pStyle w:val="ListParagraph"/>
        <w:numPr>
          <w:ilvl w:val="0"/>
          <w:numId w:val="1"/>
        </w:numPr>
        <w:spacing w:after="60"/>
      </w:pPr>
      <w:r>
        <w:t xml:space="preserve">Why it matters: pure margin-defence / RM-security play, not a new revenue line — it insulates metformin API cost structure from Chinese DCDA pricing, which management flagged has fallen sharply as Chinese competitors cut prices during Granules' pilot-stabilisation phase.</w:t>
      </w:r>
    </w:p>
    <w:p>
      <w:pPr>
        <w:pStyle w:val="ListParagraph"/>
        <w:numPr>
          <w:ilvl w:val="0"/>
          <w:numId w:val="1"/>
        </w:numPr>
        <w:spacing w:after="60"/>
      </w:pPr>
      <w:r>
        <w:t xml:space="preserve">Status (Q4FY26 call): pilot production stabilised; commercialisation decision (equipment ordering for the commercial plant) targeted '2 to 2.5 months' from the 29-Apr-2026 call, i.e. roughly Jul-Sep 2026 (Q2FY27). Commercial-plant capex guided at ~₹200cr, to be firmed up shortly — separate from the ₹600cr broader FY27 capex envelope, on top of the ₹200cr+ US distribution-centre spend also guided for FY27.</w:t>
      </w:r>
    </w:p>
    <w:p>
      <w:pPr>
        <w:pStyle w:val="ListParagraph"/>
        <w:numPr>
          <w:ilvl w:val="0"/>
          <w:numId w:val="1"/>
        </w:numPr>
        <w:spacing w:after="60"/>
      </w:pPr>
      <w:r>
        <w:t xml:space="preserve">Margin impact: RM cost-avoidance rather than a P&amp;L revenue line; the payback case depends on the Granules-vs-China DCDA cost gap holding, which management called competitively pressured, not settled.</w:t>
      </w:r>
    </w:p>
    <w:p>
      <w:pPr>
        <w:pStyle w:val="Heading1"/>
        <w:spacing w:after="120" w:before="240"/>
      </w:pPr>
      <w:r>
        <w:t xml:space="preserve">3. Newly unlocked capacity → FY27 utilisation ramp: the through-line</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1800"/>
        <w:gridCol w:w="2000"/>
      </w:tblGrid>
      <w:tr>
        <w:trPr>
          <w:tblHeader/>
        </w:trPr>
        <w:tc>
          <w:tcPr>
            <w:tcW w:type="dxa" w:w="2100"/>
            <w:shd w:fill="D9E2F3" w:val="clear"/>
          </w:tcPr>
          <w:p>
            <w:pPr>
              <w:jc w:val="left"/>
            </w:pPr>
            <w:r>
              <w:rPr>
                <w:b/>
                <w:bCs/>
              </w:rPr>
              <w:t xml:space="preserve">Capacity event</w:t>
            </w:r>
          </w:p>
        </w:tc>
        <w:tc>
          <w:tcPr>
            <w:tcW w:type="dxa" w:w="2400"/>
            <w:shd w:fill="D9E2F3" w:val="clear"/>
          </w:tcPr>
          <w:p>
            <w:pPr>
              <w:jc w:val="left"/>
            </w:pPr>
            <w:r>
              <w:rPr>
                <w:b/>
                <w:bCs/>
              </w:rPr>
              <w:t xml:space="preserve">Status as of Q4FY26 call (29-Apr-2026)</w:t>
            </w:r>
          </w:p>
        </w:tc>
        <w:tc>
          <w:tcPr>
            <w:tcW w:type="dxa" w:w="1800"/>
            <w:shd w:fill="D9E2F3" w:val="clear"/>
          </w:tcPr>
          <w:p>
            <w:pPr>
              <w:jc w:val="left"/>
            </w:pPr>
            <w:r>
              <w:rPr>
                <w:b/>
                <w:bCs/>
              </w:rPr>
              <w:t xml:space="preserve">Ramp timing (mgmt-guided)</w:t>
            </w:r>
          </w:p>
        </w:tc>
        <w:tc>
          <w:tcPr>
            <w:tcW w:type="dxa" w:w="2000"/>
            <w:shd w:fill="D9E2F3" w:val="clear"/>
          </w:tcPr>
          <w:p>
            <w:pPr>
              <w:jc w:val="left"/>
            </w:pPr>
            <w:r>
              <w:rPr>
                <w:b/>
                <w:bCs/>
              </w:rPr>
              <w:t xml:space="preserve">P&amp;L lever</w:t>
            </w:r>
          </w:p>
        </w:tc>
      </w:tr>
      <w:tr>
        <w:tc>
          <w:tcPr>
            <w:tcW w:type="dxa" w:w="2100"/>
          </w:tcPr>
          <w:p>
            <w:pPr>
              <w:jc w:val="left"/>
            </w:pPr>
            <w:r>
              <w:rPr>
                <w:b w:val="false"/>
                <w:bCs w:val="false"/>
              </w:rPr>
              <w:t xml:space="preserve">GLS Genome Valley 10bn-dosage FD/MUPS facility</w:t>
            </w:r>
          </w:p>
        </w:tc>
        <w:tc>
          <w:tcPr>
            <w:tcW w:type="dxa" w:w="2400"/>
          </w:tcPr>
          <w:p>
            <w:pPr>
              <w:jc w:val="left"/>
            </w:pPr>
            <w:r>
              <w:rPr>
                <w:b w:val="false"/>
                <w:bCs w:val="false"/>
              </w:rPr>
              <w:t xml:space="preserve">USFDA-approved (EIR/VAI), Rx shipments started</w:t>
            </w:r>
          </w:p>
        </w:tc>
        <w:tc>
          <w:tcPr>
            <w:tcW w:type="dxa" w:w="1800"/>
          </w:tcPr>
          <w:p>
            <w:pPr>
              <w:jc w:val="left"/>
            </w:pPr>
            <w:r>
              <w:rPr>
                <w:b w:val="false"/>
                <w:bCs w:val="false"/>
              </w:rPr>
              <w:t xml:space="preserve">Already ramping into FY27; +40% group FD capacity</w:t>
            </w:r>
          </w:p>
        </w:tc>
        <w:tc>
          <w:tcPr>
            <w:tcW w:type="dxa" w:w="2000"/>
          </w:tcPr>
          <w:p>
            <w:pPr>
              <w:jc w:val="left"/>
            </w:pPr>
            <w:r>
              <w:rPr>
                <w:b w:val="false"/>
                <w:bCs w:val="false"/>
              </w:rPr>
              <w:t xml:space="preserve">Operating leverage — high, capacity built, now filling</w:t>
            </w:r>
          </w:p>
        </w:tc>
      </w:tr>
      <w:tr>
        <w:tc>
          <w:tcPr>
            <w:tcW w:type="dxa" w:w="2100"/>
          </w:tcPr>
          <w:p>
            <w:pPr>
              <w:jc w:val="left"/>
            </w:pPr>
            <w:r>
              <w:rPr>
                <w:b w:val="false"/>
                <w:bCs w:val="false"/>
              </w:rPr>
              <w:t xml:space="preserve">Peptide CDMO — Zurich capacity phase 2</w:t>
            </w:r>
          </w:p>
        </w:tc>
        <w:tc>
          <w:tcPr>
            <w:tcW w:type="dxa" w:w="2400"/>
          </w:tcPr>
          <w:p>
            <w:pPr>
              <w:jc w:val="left"/>
            </w:pPr>
            <w:r>
              <w:rPr>
                <w:b w:val="false"/>
                <w:bCs w:val="false"/>
              </w:rPr>
              <w:t xml:space="preserve">Infra upgrades underway, next-phase capacity being planned</w:t>
            </w:r>
          </w:p>
        </w:tc>
        <w:tc>
          <w:tcPr>
            <w:tcW w:type="dxa" w:w="1800"/>
          </w:tcPr>
          <w:p>
            <w:pPr>
              <w:jc w:val="left"/>
            </w:pPr>
            <w:r>
              <w:rPr>
                <w:b w:val="false"/>
                <w:bCs w:val="false"/>
              </w:rPr>
              <w:t xml:space="preserve">H2FY27 ("coming months"/"second half of the year")</w:t>
            </w:r>
          </w:p>
        </w:tc>
        <w:tc>
          <w:tcPr>
            <w:tcW w:type="dxa" w:w="2000"/>
          </w:tcPr>
          <w:p>
            <w:pPr>
              <w:jc w:val="left"/>
            </w:pPr>
            <w:r>
              <w:rPr>
                <w:b w:val="false"/>
                <w:bCs w:val="false"/>
              </w:rPr>
              <w:t xml:space="preserve">Operating leverage — highest incremental margin in portfolio</w:t>
            </w:r>
          </w:p>
        </w:tc>
      </w:tr>
      <w:tr>
        <w:tc>
          <w:tcPr>
            <w:tcW w:type="dxa" w:w="2100"/>
          </w:tcPr>
          <w:p>
            <w:pPr>
              <w:jc w:val="left"/>
            </w:pPr>
            <w:r>
              <w:rPr>
                <w:b w:val="false"/>
                <w:bCs w:val="false"/>
              </w:rPr>
              <w:t xml:space="preserve">Peptide CDMO — India brownfield intermediate plant</w:t>
            </w:r>
          </w:p>
        </w:tc>
        <w:tc>
          <w:tcPr>
            <w:tcW w:type="dxa" w:w="2400"/>
          </w:tcPr>
          <w:p>
            <w:pPr>
              <w:jc w:val="left"/>
            </w:pPr>
            <w:r>
              <w:rPr>
                <w:b w:val="false"/>
                <w:bCs w:val="false"/>
              </w:rPr>
              <w:t xml:space="preserve">Not yet built</w:t>
            </w:r>
          </w:p>
        </w:tc>
        <w:tc>
          <w:tcPr>
            <w:tcW w:type="dxa" w:w="1800"/>
          </w:tcPr>
          <w:p>
            <w:pPr>
              <w:jc w:val="left"/>
            </w:pPr>
            <w:r>
              <w:rPr>
                <w:b w:val="false"/>
                <w:bCs w:val="false"/>
              </w:rPr>
              <w:t xml:space="preserve">Guided "over the coming months" (FY27)</w:t>
            </w:r>
          </w:p>
        </w:tc>
        <w:tc>
          <w:tcPr>
            <w:tcW w:type="dxa" w:w="2000"/>
          </w:tcPr>
          <w:p>
            <w:pPr>
              <w:jc w:val="left"/>
            </w:pPr>
            <w:r>
              <w:rPr>
                <w:b w:val="false"/>
                <w:bCs w:val="false"/>
              </w:rPr>
              <w:t xml:space="preserve">Sets up FY28 peptide API capacity in India</w:t>
            </w:r>
          </w:p>
        </w:tc>
      </w:tr>
      <w:tr>
        <w:tc>
          <w:tcPr>
            <w:tcW w:type="dxa" w:w="2100"/>
          </w:tcPr>
          <w:p>
            <w:pPr>
              <w:jc w:val="left"/>
            </w:pPr>
            <w:r>
              <w:rPr>
                <w:b w:val="false"/>
                <w:bCs w:val="false"/>
              </w:rPr>
              <w:t xml:space="preserve">Vizag DCDA commercial plant</w:t>
            </w:r>
          </w:p>
        </w:tc>
        <w:tc>
          <w:tcPr>
            <w:tcW w:type="dxa" w:w="2400"/>
          </w:tcPr>
          <w:p>
            <w:pPr>
              <w:jc w:val="left"/>
            </w:pPr>
            <w:r>
              <w:rPr>
                <w:b w:val="false"/>
                <w:bCs w:val="false"/>
              </w:rPr>
              <w:t xml:space="preserve">Pilot stabilised, near end-stage</w:t>
            </w:r>
          </w:p>
        </w:tc>
        <w:tc>
          <w:tcPr>
            <w:tcW w:type="dxa" w:w="1800"/>
          </w:tcPr>
          <w:p>
            <w:pPr>
              <w:jc w:val="left"/>
            </w:pPr>
            <w:r>
              <w:rPr>
                <w:b w:val="false"/>
                <w:bCs w:val="false"/>
              </w:rPr>
              <w:t xml:space="preserve">Order equipment ~Jul-Sep 2026 (Q2FY27); commercial timeline TBC</w:t>
            </w:r>
          </w:p>
        </w:tc>
        <w:tc>
          <w:tcPr>
            <w:tcW w:type="dxa" w:w="2000"/>
          </w:tcPr>
          <w:p>
            <w:pPr>
              <w:jc w:val="left"/>
            </w:pPr>
            <w:r>
              <w:rPr>
                <w:b w:val="false"/>
                <w:bCs w:val="false"/>
              </w:rPr>
              <w:t xml:space="preserve">RM-cost defence for Metformin API, not new revenue</w:t>
            </w:r>
          </w:p>
        </w:tc>
      </w:tr>
      <w:tr>
        <w:tc>
          <w:tcPr>
            <w:tcW w:type="dxa" w:w="2100"/>
          </w:tcPr>
          <w:p>
            <w:pPr>
              <w:jc w:val="left"/>
            </w:pPr>
            <w:r>
              <w:rPr>
                <w:b w:val="false"/>
                <w:bCs w:val="false"/>
              </w:rPr>
              <w:t xml:space="preserve">US distribution centre (GPI Virginia)</w:t>
            </w:r>
          </w:p>
        </w:tc>
        <w:tc>
          <w:tcPr>
            <w:tcW w:type="dxa" w:w="2400"/>
          </w:tcPr>
          <w:p>
            <w:pPr>
              <w:jc w:val="left"/>
            </w:pPr>
            <w:r>
              <w:rPr>
                <w:b w:val="false"/>
                <w:bCs w:val="false"/>
              </w:rPr>
              <w:t xml:space="preserve">Under development</w:t>
            </w:r>
          </w:p>
        </w:tc>
        <w:tc>
          <w:tcPr>
            <w:tcW w:type="dxa" w:w="1800"/>
          </w:tcPr>
          <w:p>
            <w:pPr>
              <w:jc w:val="left"/>
            </w:pPr>
            <w:r>
              <w:rPr>
                <w:b w:val="false"/>
                <w:bCs w:val="false"/>
              </w:rPr>
              <w:t xml:space="preserve">FY27 (~₹200cr+ of the FY27 capex plan)</w:t>
            </w:r>
          </w:p>
        </w:tc>
        <w:tc>
          <w:tcPr>
            <w:tcW w:type="dxa" w:w="2000"/>
          </w:tcPr>
          <w:p>
            <w:pPr>
              <w:jc w:val="left"/>
            </w:pPr>
            <w:r>
              <w:rPr>
                <w:b w:val="false"/>
                <w:bCs w:val="false"/>
              </w:rPr>
              <w:t xml:space="preserve">Supply-chain control / working-capital, indirect margin</w:t>
            </w:r>
          </w:p>
        </w:tc>
      </w:tr>
      <w:tr>
        <w:tc>
          <w:tcPr>
            <w:tcW w:type="dxa" w:w="2100"/>
          </w:tcPr>
          <w:p>
            <w:pPr>
              <w:jc w:val="left"/>
            </w:pPr>
            <w:r>
              <w:rPr>
                <w:b w:val="false"/>
                <w:bCs w:val="false"/>
              </w:rPr>
              <w:t xml:space="preserve">New API facility (unnamed, FY27 capex plan)</w:t>
            </w:r>
          </w:p>
        </w:tc>
        <w:tc>
          <w:tcPr>
            <w:tcW w:type="dxa" w:w="2400"/>
          </w:tcPr>
          <w:p>
            <w:pPr>
              <w:jc w:val="left"/>
            </w:pPr>
            <w:r>
              <w:rPr>
                <w:b w:val="false"/>
                <w:bCs w:val="false"/>
              </w:rPr>
              <w:t xml:space="preserve">Planned, part of "broad-based" FY27 capex</w:t>
            </w:r>
          </w:p>
        </w:tc>
        <w:tc>
          <w:tcPr>
            <w:tcW w:type="dxa" w:w="1800"/>
          </w:tcPr>
          <w:p>
            <w:pPr>
              <w:jc w:val="left"/>
            </w:pPr>
            <w:r>
              <w:rPr>
                <w:b w:val="false"/>
                <w:bCs w:val="false"/>
              </w:rPr>
              <w:t xml:space="preserve">FY27-28</w:t>
            </w:r>
          </w:p>
        </w:tc>
        <w:tc>
          <w:tcPr>
            <w:tcW w:type="dxa" w:w="2000"/>
          </w:tcPr>
          <w:p>
            <w:pPr>
              <w:jc w:val="left"/>
            </w:pPr>
            <w:r>
              <w:rPr>
                <w:b w:val="false"/>
                <w:bCs w:val="false"/>
              </w:rPr>
              <w:t xml:space="preserve">Feeds PFI/FD self-sufficiency, gross-margin support</w:t>
            </w:r>
          </w:p>
        </w:tc>
      </w:tr>
    </w:tbl>
    <w:p>
      <w:pPr>
        <w:spacing w:after="100"/>
      </w:pPr>
      <w:r>
        <w:t xml:space="preserve"/>
      </w:r>
    </w:p>
    <w:p>
      <w:pPr>
        <w:spacing w:after="100"/>
      </w:pPr>
      <w:r>
        <w:rPr>
          <w:i/>
          <w:iCs/>
        </w:rPr>
        <w:t xml:space="preserve">Read-through: FY27-28 PAT growth is disproportionately a capacity-utilisation story rather than a fresh-capex story — nearly every major line above is capacity already sanctioned or substantially built, now waiting on customer/program ramp (CDMO) or regulatory-shipment ramp (GLS). That is the highest-conviction form of the capex-live-operating-leverage PAT lever the pre-pead framework weights most heavily: incremental revenue on already-fixed-cost capacity should drop through at materially higher incremental margin than the 22.1% FY26 blended EBITDA margin.</w:t>
      </w:r>
    </w:p>
    <w:p>
      <w:pPr>
        <w:pStyle w:val="Heading1"/>
        <w:spacing w:after="120" w:before="240"/>
      </w:pPr>
      <w:r>
        <w:t xml:space="preserve">4. Financial trajectory: FY26 actual → FY27/FY28 roadmap</w:t>
      </w:r>
    </w:p>
    <w:p>
      <w:pPr>
        <w:pStyle w:val="Heading2"/>
        <w:spacing w:after="120" w:before="240"/>
      </w:pPr>
      <w:r>
        <w:t xml:space="preserve">4.1 FY26 quarterly base (₹ million, consolidated)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500"/>
        <w:gridCol w:w="1500"/>
        <w:gridCol w:w="1500"/>
        <w:gridCol w:w="1500"/>
      </w:tblGrid>
      <w:tr>
        <w:trPr>
          <w:tblHeader/>
        </w:trPr>
        <w:tc>
          <w:tcPr>
            <w:tcW w:type="dxa" w:w="1900"/>
            <w:shd w:fill="D9E2F3" w:val="clear"/>
          </w:tcPr>
          <w:p>
            <w:pPr>
              <w:jc w:val="left"/>
            </w:pPr>
            <w:r>
              <w:rPr>
                <w:b/>
                <w:bCs/>
              </w:rPr>
              <w:t xml:space="preserve">Metric</w:t>
            </w:r>
          </w:p>
        </w:tc>
        <w:tc>
          <w:tcPr>
            <w:tcW w:type="dxa" w:w="1500"/>
            <w:shd w:fill="D9E2F3" w:val="clear"/>
          </w:tcPr>
          <w:p>
            <w:pPr>
              <w:jc w:val="left"/>
            </w:pPr>
            <w:r>
              <w:rPr>
                <w:b/>
                <w:bCs/>
              </w:rPr>
              <w:t xml:space="preserve">Q1FY26</w:t>
            </w:r>
          </w:p>
        </w:tc>
        <w:tc>
          <w:tcPr>
            <w:tcW w:type="dxa" w:w="1500"/>
            <w:shd w:fill="D9E2F3" w:val="clear"/>
          </w:tcPr>
          <w:p>
            <w:pPr>
              <w:jc w:val="left"/>
            </w:pPr>
            <w:r>
              <w:rPr>
                <w:b/>
                <w:bCs/>
              </w:rPr>
              <w:t xml:space="preserve">Q2FY26</w:t>
            </w:r>
          </w:p>
        </w:tc>
        <w:tc>
          <w:tcPr>
            <w:tcW w:type="dxa" w:w="1500"/>
            <w:shd w:fill="D9E2F3" w:val="clear"/>
          </w:tcPr>
          <w:p>
            <w:pPr>
              <w:jc w:val="left"/>
            </w:pPr>
            <w:r>
              <w:rPr>
                <w:b/>
                <w:bCs/>
              </w:rPr>
              <w:t xml:space="preserve">Q3FY26</w:t>
            </w:r>
          </w:p>
        </w:tc>
        <w:tc>
          <w:tcPr>
            <w:tcW w:type="dxa" w:w="1500"/>
            <w:shd w:fill="D9E2F3" w:val="clear"/>
          </w:tcPr>
          <w:p>
            <w:pPr>
              <w:jc w:val="left"/>
            </w:pPr>
            <w:r>
              <w:rPr>
                <w:b/>
                <w:bCs/>
              </w:rPr>
              <w:t xml:space="preserve">Q4FY26</w:t>
            </w:r>
          </w:p>
        </w:tc>
        <w:tc>
          <w:tcPr>
            <w:tcW w:type="dxa" w:w="1500"/>
            <w:shd w:fill="D9E2F3" w:val="clear"/>
          </w:tcPr>
          <w:p>
            <w:pPr>
              <w:jc w:val="left"/>
            </w:pPr>
            <w:r>
              <w:rPr>
                <w:b/>
                <w:bCs/>
              </w:rPr>
              <w:t xml:space="preserve">FY26</w:t>
            </w:r>
          </w:p>
        </w:tc>
      </w:tr>
      <w:tr>
        <w:tc>
          <w:tcPr>
            <w:tcW w:type="dxa" w:w="1900"/>
          </w:tcPr>
          <w:p>
            <w:pPr>
              <w:jc w:val="left"/>
            </w:pPr>
            <w:r>
              <w:rPr>
                <w:b w:val="false"/>
                <w:bCs w:val="false"/>
              </w:rPr>
              <w:t xml:space="preserve">Revenue</w:t>
            </w:r>
          </w:p>
        </w:tc>
        <w:tc>
          <w:tcPr>
            <w:tcW w:type="dxa" w:w="1500"/>
          </w:tcPr>
          <w:p>
            <w:pPr>
              <w:jc w:val="left"/>
            </w:pPr>
            <w:r>
              <w:rPr>
                <w:b w:val="false"/>
                <w:bCs w:val="false"/>
              </w:rPr>
              <w:t xml:space="preserve">12,101</w:t>
            </w:r>
          </w:p>
        </w:tc>
        <w:tc>
          <w:tcPr>
            <w:tcW w:type="dxa" w:w="1500"/>
          </w:tcPr>
          <w:p>
            <w:pPr>
              <w:jc w:val="left"/>
            </w:pPr>
            <w:r>
              <w:rPr>
                <w:b w:val="false"/>
                <w:bCs w:val="false"/>
              </w:rPr>
              <w:t xml:space="preserve">12,970</w:t>
            </w:r>
          </w:p>
        </w:tc>
        <w:tc>
          <w:tcPr>
            <w:tcW w:type="dxa" w:w="1500"/>
          </w:tcPr>
          <w:p>
            <w:pPr>
              <w:jc w:val="left"/>
            </w:pPr>
            <w:r>
              <w:rPr>
                <w:b w:val="false"/>
                <w:bCs w:val="false"/>
              </w:rPr>
              <w:t xml:space="preserve">13,879</w:t>
            </w:r>
          </w:p>
        </w:tc>
        <w:tc>
          <w:tcPr>
            <w:tcW w:type="dxa" w:w="1500"/>
          </w:tcPr>
          <w:p>
            <w:pPr>
              <w:jc w:val="left"/>
            </w:pPr>
            <w:r>
              <w:rPr>
                <w:b w:val="false"/>
                <w:bCs w:val="false"/>
              </w:rPr>
              <w:t xml:space="preserve">14,706</w:t>
            </w:r>
          </w:p>
        </w:tc>
        <w:tc>
          <w:tcPr>
            <w:tcW w:type="dxa" w:w="1500"/>
          </w:tcPr>
          <w:p>
            <w:pPr>
              <w:jc w:val="left"/>
            </w:pPr>
            <w:r>
              <w:rPr>
                <w:b w:val="false"/>
                <w:bCs w:val="false"/>
              </w:rPr>
              <w:t xml:space="preserve">53,656</w:t>
            </w:r>
          </w:p>
        </w:tc>
      </w:tr>
      <w:tr>
        <w:tc>
          <w:tcPr>
            <w:tcW w:type="dxa" w:w="1900"/>
          </w:tcPr>
          <w:p>
            <w:pPr>
              <w:jc w:val="left"/>
            </w:pPr>
            <w:r>
              <w:rPr>
                <w:b w:val="false"/>
                <w:bCs w:val="false"/>
              </w:rPr>
              <w:t xml:space="preserve">YoY growth</w:t>
            </w:r>
          </w:p>
        </w:tc>
        <w:tc>
          <w:tcPr>
            <w:tcW w:type="dxa" w:w="1500"/>
          </w:tcPr>
          <w:p>
            <w:pPr>
              <w:jc w:val="left"/>
            </w:pPr>
            <w:r>
              <w:rPr>
                <w:b w:val="false"/>
                <w:bCs w:val="false"/>
              </w:rPr>
              <w:t xml:space="preserve">n/a</w:t>
            </w:r>
          </w:p>
        </w:tc>
        <w:tc>
          <w:tcPr>
            <w:tcW w:type="dxa" w:w="1500"/>
          </w:tcPr>
          <w:p>
            <w:pPr>
              <w:jc w:val="left"/>
            </w:pPr>
            <w:r>
              <w:rPr>
                <w:b w:val="false"/>
                <w:bCs w:val="false"/>
              </w:rPr>
              <w:t xml:space="preserve">n/a</w:t>
            </w:r>
          </w:p>
        </w:tc>
        <w:tc>
          <w:tcPr>
            <w:tcW w:type="dxa" w:w="1500"/>
          </w:tcPr>
          <w:p>
            <w:pPr>
              <w:jc w:val="left"/>
            </w:pPr>
            <w:r>
              <w:rPr>
                <w:b w:val="false"/>
                <w:bCs w:val="false"/>
              </w:rPr>
              <w:t xml:space="preserve">n/a</w:t>
            </w:r>
          </w:p>
        </w:tc>
        <w:tc>
          <w:tcPr>
            <w:tcW w:type="dxa" w:w="1500"/>
          </w:tcPr>
          <w:p>
            <w:pPr>
              <w:jc w:val="left"/>
            </w:pPr>
            <w:r>
              <w:rPr>
                <w:b w:val="false"/>
                <w:bCs w:val="false"/>
              </w:rPr>
              <w:t xml:space="preserve">+23%</w:t>
            </w:r>
          </w:p>
        </w:tc>
        <w:tc>
          <w:tcPr>
            <w:tcW w:type="dxa" w:w="1500"/>
          </w:tcPr>
          <w:p>
            <w:pPr>
              <w:jc w:val="left"/>
            </w:pPr>
            <w:r>
              <w:rPr>
                <w:b w:val="false"/>
                <w:bCs w:val="false"/>
              </w:rPr>
              <w:t xml:space="preserve">+20%</w:t>
            </w:r>
          </w:p>
        </w:tc>
      </w:tr>
      <w:tr>
        <w:tc>
          <w:tcPr>
            <w:tcW w:type="dxa" w:w="1900"/>
          </w:tcPr>
          <w:p>
            <w:pPr>
              <w:jc w:val="left"/>
            </w:pPr>
            <w:r>
              <w:rPr>
                <w:b w:val="false"/>
                <w:bCs w:val="false"/>
              </w:rPr>
              <w:t xml:space="preserve">QoQ growth</w:t>
            </w:r>
          </w:p>
        </w:tc>
        <w:tc>
          <w:tcPr>
            <w:tcW w:type="dxa" w:w="1500"/>
          </w:tcPr>
          <w:p>
            <w:pPr>
              <w:jc w:val="left"/>
            </w:pPr>
            <w:r>
              <w:rPr>
                <w:b w:val="false"/>
                <w:bCs w:val="false"/>
              </w:rPr>
              <w:t xml:space="preserve">n/a</w:t>
            </w:r>
          </w:p>
        </w:tc>
        <w:tc>
          <w:tcPr>
            <w:tcW w:type="dxa" w:w="1500"/>
          </w:tcPr>
          <w:p>
            <w:pPr>
              <w:jc w:val="left"/>
            </w:pPr>
            <w:r>
              <w:rPr>
                <w:b w:val="false"/>
                <w:bCs w:val="false"/>
              </w:rPr>
              <w:t xml:space="preserve">+7%</w:t>
            </w:r>
          </w:p>
        </w:tc>
        <w:tc>
          <w:tcPr>
            <w:tcW w:type="dxa" w:w="1500"/>
          </w:tcPr>
          <w:p>
            <w:pPr>
              <w:jc w:val="left"/>
            </w:pPr>
            <w:r>
              <w:rPr>
                <w:b w:val="false"/>
                <w:bCs w:val="false"/>
              </w:rPr>
              <w:t xml:space="preserve">+7%</w:t>
            </w:r>
          </w:p>
        </w:tc>
        <w:tc>
          <w:tcPr>
            <w:tcW w:type="dxa" w:w="1500"/>
          </w:tcPr>
          <w:p>
            <w:pPr>
              <w:jc w:val="left"/>
            </w:pPr>
            <w:r>
              <w:rPr>
                <w:b w:val="false"/>
                <w:bCs w:val="false"/>
              </w:rPr>
              <w:t xml:space="preserve">+6%</w:t>
            </w:r>
          </w:p>
        </w:tc>
        <w:tc>
          <w:tcPr>
            <w:tcW w:type="dxa" w:w="1500"/>
          </w:tcPr>
          <w:p>
            <w:pPr>
              <w:jc w:val="left"/>
            </w:pPr>
            <w:r>
              <w:rPr>
                <w:b w:val="false"/>
                <w:bCs w:val="false"/>
              </w:rPr>
              <w:t xml:space="preserve">—</w:t>
            </w:r>
          </w:p>
        </w:tc>
      </w:tr>
      <w:tr>
        <w:tc>
          <w:tcPr>
            <w:tcW w:type="dxa" w:w="1900"/>
          </w:tcPr>
          <w:p>
            <w:pPr>
              <w:jc w:val="left"/>
            </w:pPr>
            <w:r>
              <w:rPr>
                <w:b w:val="false"/>
                <w:bCs w:val="false"/>
              </w:rPr>
              <w:t xml:space="preserve">EBITDA margin</w:t>
            </w:r>
          </w:p>
        </w:tc>
        <w:tc>
          <w:tcPr>
            <w:tcW w:type="dxa" w:w="1500"/>
          </w:tcPr>
          <w:p>
            <w:pPr>
              <w:jc w:val="left"/>
            </w:pPr>
            <w:r>
              <w:rPr>
                <w:b w:val="false"/>
                <w:bCs w:val="false"/>
              </w:rPr>
              <w:t xml:space="preserve">~20.9%*</w:t>
            </w:r>
          </w:p>
        </w:tc>
        <w:tc>
          <w:tcPr>
            <w:tcW w:type="dxa" w:w="1500"/>
          </w:tcPr>
          <w:p>
            <w:pPr>
              <w:jc w:val="left"/>
            </w:pPr>
            <w:r>
              <w:rPr>
                <w:b w:val="false"/>
                <w:bCs w:val="false"/>
              </w:rPr>
              <w:t xml:space="preserve">~21.0%*</w:t>
            </w:r>
          </w:p>
        </w:tc>
        <w:tc>
          <w:tcPr>
            <w:tcW w:type="dxa" w:w="1500"/>
          </w:tcPr>
          <w:p>
            <w:pPr>
              <w:jc w:val="left"/>
            </w:pPr>
            <w:r>
              <w:rPr>
                <w:b w:val="false"/>
                <w:bCs w:val="false"/>
              </w:rPr>
              <w:t xml:space="preserve">~20.9%</w:t>
            </w:r>
          </w:p>
        </w:tc>
        <w:tc>
          <w:tcPr>
            <w:tcW w:type="dxa" w:w="1500"/>
          </w:tcPr>
          <w:p>
            <w:pPr>
              <w:jc w:val="left"/>
            </w:pPr>
            <w:r>
              <w:rPr>
                <w:b w:val="false"/>
                <w:bCs w:val="false"/>
              </w:rPr>
              <w:t xml:space="preserve">23.9%</w:t>
            </w:r>
          </w:p>
        </w:tc>
        <w:tc>
          <w:tcPr>
            <w:tcW w:type="dxa" w:w="1500"/>
          </w:tcPr>
          <w:p>
            <w:pPr>
              <w:jc w:val="left"/>
            </w:pPr>
            <w:r>
              <w:rPr>
                <w:b w:val="false"/>
                <w:bCs w:val="false"/>
              </w:rPr>
              <w:t xml:space="preserve">22.1%</w:t>
            </w:r>
          </w:p>
        </w:tc>
      </w:tr>
      <w:tr>
        <w:tc>
          <w:tcPr>
            <w:tcW w:type="dxa" w:w="1900"/>
          </w:tcPr>
          <w:p>
            <w:pPr>
              <w:jc w:val="left"/>
            </w:pPr>
            <w:r>
              <w:rPr>
                <w:b w:val="false"/>
                <w:bCs w:val="false"/>
              </w:rPr>
              <w:t xml:space="preserve">PAT</w:t>
            </w:r>
          </w:p>
        </w:tc>
        <w:tc>
          <w:tcPr>
            <w:tcW w:type="dxa" w:w="1500"/>
          </w:tcPr>
          <w:p>
            <w:pPr>
              <w:jc w:val="left"/>
            </w:pPr>
            <w:r>
              <w:rPr>
                <w:b w:val="false"/>
                <w:bCs w:val="false"/>
              </w:rPr>
              <w:t xml:space="preserve">n/a*</w:t>
            </w:r>
          </w:p>
        </w:tc>
        <w:tc>
          <w:tcPr>
            <w:tcW w:type="dxa" w:w="1500"/>
          </w:tcPr>
          <w:p>
            <w:pPr>
              <w:jc w:val="left"/>
            </w:pPr>
            <w:r>
              <w:rPr>
                <w:b w:val="false"/>
                <w:bCs w:val="false"/>
              </w:rPr>
              <w:t xml:space="preserve">n/a*</w:t>
            </w:r>
          </w:p>
        </w:tc>
        <w:tc>
          <w:tcPr>
            <w:tcW w:type="dxa" w:w="1500"/>
          </w:tcPr>
          <w:p>
            <w:pPr>
              <w:jc w:val="left"/>
            </w:pPr>
            <w:r>
              <w:rPr>
                <w:b w:val="false"/>
                <w:bCs w:val="false"/>
              </w:rPr>
              <w:t xml:space="preserve">1,502</w:t>
            </w:r>
          </w:p>
        </w:tc>
        <w:tc>
          <w:tcPr>
            <w:tcW w:type="dxa" w:w="1500"/>
          </w:tcPr>
          <w:p>
            <w:pPr>
              <w:jc w:val="left"/>
            </w:pPr>
            <w:r>
              <w:rPr>
                <w:b w:val="false"/>
                <w:bCs w:val="false"/>
              </w:rPr>
              <w:t xml:space="preserve">2,016</w:t>
            </w:r>
          </w:p>
        </w:tc>
        <w:tc>
          <w:tcPr>
            <w:tcW w:type="dxa" w:w="1500"/>
          </w:tcPr>
          <w:p>
            <w:pPr>
              <w:jc w:val="left"/>
            </w:pPr>
            <w:r>
              <w:rPr>
                <w:b w:val="false"/>
                <w:bCs w:val="false"/>
              </w:rPr>
              <w:t xml:space="preserve">5,950</w:t>
            </w:r>
          </w:p>
        </w:tc>
      </w:tr>
    </w:tbl>
    <w:p>
      <w:pPr>
        <w:spacing w:after="100"/>
      </w:pPr>
      <w:r>
        <w:rPr>
          <w:i/>
          <w:iCs/>
          <w:sz w:val="16"/>
          <w:szCs w:val="16"/>
        </w:rPr>
        <w:t xml:space="preserve">* Q1/Q2FY26 EBITDA margin backed out approximately from FY26 full-year and H2 disclosures; PAT not separately re-derived here for Q1/Q2 — treat as [estimate], not [actual]. All Q3/Q4/FY26/FY25 figures are [actual], sourced from the audited consolidated results filed 29-Apr-2026.</w:t>
      </w:r>
    </w:p>
    <w:p>
      <w:pPr>
        <w:pStyle w:val="Heading2"/>
        <w:spacing w:after="120" w:before="240"/>
      </w:pPr>
      <w:r>
        <w:t xml:space="preserve">4.2 Quarterly earnings roadmap, Q1FY27 → Q4FY28</w:t>
      </w:r>
    </w:p>
    <w:p>
      <w:pPr>
        <w:spacing w:after="100"/>
      </w:pPr>
      <w:r>
        <w:rPr>
          <w:i/>
          <w:iCs/>
          <w:sz w:val="16"/>
          <w:szCs w:val="16"/>
        </w:rPr>
        <w:t xml:space="preserve">Method: FY27 revenue path anchored to the ~20% FY26 exit growth rate, moderating slightly (management flagged RM/freight cost uncertainty and a wait for price pass-through), with an explicit step-up in H2FY27/FY28 as GLS utilisation and Zurich/India peptide capacity land. EBITDA margin is walked from 22.1% (FY26) toward the low-mid-20s% as CDMO mix rises and Gagillapur remediation costs fall ('FY27 onwards substantially lower' per CFO) — partially offset by RM/freight inflation the company called 'uncertain.' PAT growth is benchmarked to street consensus of 15-20% YoY for FY27 (post-tariff, post-FII-outflow overhang) [consensus], cross-checked against a guidance-implied bottom-up build [estimate]. Every cell is a directional estimate, not a management-issued number — Granules does not give formal quarterly P&amp;L guidance; only qualitative and annual (PAT-positive-CDMO) guidance exists. Treat this table as the pre-pead thesis's forward path, to be re-underwritten every quarter against actuals.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1100"/>
        <w:gridCol w:w="1500"/>
        <w:gridCol w:w="1300"/>
        <w:gridCol w:w="2400"/>
      </w:tblGrid>
      <w:tr>
        <w:trPr>
          <w:tblHeader/>
        </w:trPr>
        <w:tc>
          <w:tcPr>
            <w:tcW w:type="dxa" w:w="1300"/>
            <w:shd w:fill="D9E2F3" w:val="clear"/>
          </w:tcPr>
          <w:p>
            <w:pPr>
              <w:jc w:val="left"/>
            </w:pPr>
            <w:r>
              <w:rPr>
                <w:b/>
                <w:bCs/>
              </w:rPr>
              <w:t xml:space="preserve">Quarter</w:t>
            </w:r>
          </w:p>
        </w:tc>
        <w:tc>
          <w:tcPr>
            <w:tcW w:type="dxa" w:w="1700"/>
            <w:shd w:fill="D9E2F3" w:val="clear"/>
          </w:tcPr>
          <w:p>
            <w:pPr>
              <w:jc w:val="left"/>
            </w:pPr>
            <w:r>
              <w:rPr>
                <w:b/>
                <w:bCs/>
              </w:rPr>
              <w:t xml:space="preserve">Revenue (₹mn) est.</w:t>
            </w:r>
          </w:p>
        </w:tc>
        <w:tc>
          <w:tcPr>
            <w:tcW w:type="dxa" w:w="1100"/>
            <w:shd w:fill="D9E2F3" w:val="clear"/>
          </w:tcPr>
          <w:p>
            <w:pPr>
              <w:jc w:val="left"/>
            </w:pPr>
            <w:r>
              <w:rPr>
                <w:b/>
                <w:bCs/>
              </w:rPr>
              <w:t xml:space="preserve">YoY growth</w:t>
            </w:r>
          </w:p>
        </w:tc>
        <w:tc>
          <w:tcPr>
            <w:tcW w:type="dxa" w:w="1500"/>
            <w:shd w:fill="D9E2F3" w:val="clear"/>
          </w:tcPr>
          <w:p>
            <w:pPr>
              <w:jc w:val="left"/>
            </w:pPr>
            <w:r>
              <w:rPr>
                <w:b/>
                <w:bCs/>
              </w:rPr>
              <w:t xml:space="preserve">EBITDA margin est.</w:t>
            </w:r>
          </w:p>
        </w:tc>
        <w:tc>
          <w:tcPr>
            <w:tcW w:type="dxa" w:w="1300"/>
            <w:shd w:fill="D9E2F3" w:val="clear"/>
          </w:tcPr>
          <w:p>
            <w:pPr>
              <w:jc w:val="left"/>
            </w:pPr>
            <w:r>
              <w:rPr>
                <w:b/>
                <w:bCs/>
              </w:rPr>
              <w:t xml:space="preserve">PAT (₹mn) est.</w:t>
            </w:r>
          </w:p>
        </w:tc>
        <w:tc>
          <w:tcPr>
            <w:tcW w:type="dxa" w:w="2400"/>
            <w:shd w:fill="D9E2F3" w:val="clear"/>
          </w:tcPr>
          <w:p>
            <w:pPr>
              <w:jc w:val="left"/>
            </w:pPr>
            <w:r>
              <w:rPr>
                <w:b/>
                <w:bCs/>
              </w:rPr>
              <w:t xml:space="preserve">Key swing factor</w:t>
            </w:r>
          </w:p>
        </w:tc>
      </w:tr>
      <w:tr>
        <w:tc>
          <w:tcPr>
            <w:tcW w:type="dxa" w:w="1300"/>
          </w:tcPr>
          <w:p>
            <w:pPr>
              <w:jc w:val="left"/>
            </w:pPr>
            <w:r>
              <w:rPr>
                <w:b w:val="false"/>
                <w:bCs w:val="false"/>
              </w:rPr>
              <w:t xml:space="preserve">Q1FY27 (Jun-26)</w:t>
            </w:r>
          </w:p>
        </w:tc>
        <w:tc>
          <w:tcPr>
            <w:tcW w:type="dxa" w:w="1700"/>
          </w:tcPr>
          <w:p>
            <w:pPr>
              <w:jc w:val="left"/>
            </w:pPr>
            <w:r>
              <w:rPr>
                <w:b w:val="false"/>
                <w:bCs w:val="false"/>
              </w:rPr>
              <w:t xml:space="preserve">15,200–15,700</w:t>
            </w:r>
          </w:p>
        </w:tc>
        <w:tc>
          <w:tcPr>
            <w:tcW w:type="dxa" w:w="1100"/>
          </w:tcPr>
          <w:p>
            <w:pPr>
              <w:jc w:val="left"/>
            </w:pPr>
            <w:r>
              <w:rPr>
                <w:b w:val="false"/>
                <w:bCs w:val="false"/>
              </w:rPr>
              <w:t xml:space="preserve">+26–30%</w:t>
            </w:r>
          </w:p>
        </w:tc>
        <w:tc>
          <w:tcPr>
            <w:tcW w:type="dxa" w:w="1500"/>
          </w:tcPr>
          <w:p>
            <w:pPr>
              <w:jc w:val="left"/>
            </w:pPr>
            <w:r>
              <w:rPr>
                <w:b w:val="false"/>
                <w:bCs w:val="false"/>
              </w:rPr>
              <w:t xml:space="preserve">22.5–23.5%</w:t>
            </w:r>
          </w:p>
        </w:tc>
        <w:tc>
          <w:tcPr>
            <w:tcW w:type="dxa" w:w="1300"/>
          </w:tcPr>
          <w:p>
            <w:pPr>
              <w:jc w:val="left"/>
            </w:pPr>
            <w:r>
              <w:rPr>
                <w:b w:val="false"/>
                <w:bCs w:val="false"/>
              </w:rPr>
              <w:t xml:space="preserve">2,000–2,150</w:t>
            </w:r>
          </w:p>
        </w:tc>
        <w:tc>
          <w:tcPr>
            <w:tcW w:type="dxa" w:w="2400"/>
          </w:tcPr>
          <w:p>
            <w:pPr>
              <w:jc w:val="left"/>
            </w:pPr>
            <w:r>
              <w:rPr>
                <w:b w:val="false"/>
                <w:bCs w:val="false"/>
              </w:rPr>
              <w:t xml:space="preserve">RM/freight cost pass-through lag; CDMO still ramping</w:t>
            </w:r>
          </w:p>
        </w:tc>
      </w:tr>
      <w:tr>
        <w:tc>
          <w:tcPr>
            <w:tcW w:type="dxa" w:w="1300"/>
          </w:tcPr>
          <w:p>
            <w:pPr>
              <w:jc w:val="left"/>
            </w:pPr>
            <w:r>
              <w:rPr>
                <w:b w:val="false"/>
                <w:bCs w:val="false"/>
              </w:rPr>
              <w:t xml:space="preserve">Q2FY27 (Sep-26)</w:t>
            </w:r>
          </w:p>
        </w:tc>
        <w:tc>
          <w:tcPr>
            <w:tcW w:type="dxa" w:w="1700"/>
          </w:tcPr>
          <w:p>
            <w:pPr>
              <w:jc w:val="left"/>
            </w:pPr>
            <w:r>
              <w:rPr>
                <w:b w:val="false"/>
                <w:bCs w:val="false"/>
              </w:rPr>
              <w:t xml:space="preserve">15,800–16,400</w:t>
            </w:r>
          </w:p>
        </w:tc>
        <w:tc>
          <w:tcPr>
            <w:tcW w:type="dxa" w:w="1100"/>
          </w:tcPr>
          <w:p>
            <w:pPr>
              <w:jc w:val="left"/>
            </w:pPr>
            <w:r>
              <w:rPr>
                <w:b w:val="false"/>
                <w:bCs w:val="false"/>
              </w:rPr>
              <w:t xml:space="preserve">+22–26%</w:t>
            </w:r>
          </w:p>
        </w:tc>
        <w:tc>
          <w:tcPr>
            <w:tcW w:type="dxa" w:w="1500"/>
          </w:tcPr>
          <w:p>
            <w:pPr>
              <w:jc w:val="left"/>
            </w:pPr>
            <w:r>
              <w:rPr>
                <w:b w:val="false"/>
                <w:bCs w:val="false"/>
              </w:rPr>
              <w:t xml:space="preserve">23.0–24.0%</w:t>
            </w:r>
          </w:p>
        </w:tc>
        <w:tc>
          <w:tcPr>
            <w:tcW w:type="dxa" w:w="1300"/>
          </w:tcPr>
          <w:p>
            <w:pPr>
              <w:jc w:val="left"/>
            </w:pPr>
            <w:r>
              <w:rPr>
                <w:b w:val="false"/>
                <w:bCs w:val="false"/>
              </w:rPr>
              <w:t xml:space="preserve">2,150–2,350</w:t>
            </w:r>
          </w:p>
        </w:tc>
        <w:tc>
          <w:tcPr>
            <w:tcW w:type="dxa" w:w="2400"/>
          </w:tcPr>
          <w:p>
            <w:pPr>
              <w:jc w:val="left"/>
            </w:pPr>
            <w:r>
              <w:rPr>
                <w:b w:val="false"/>
                <w:bCs w:val="false"/>
              </w:rPr>
              <w:t xml:space="preserve">DCDA commercial decision point; Gagillapur reinspection outcome</w:t>
            </w:r>
          </w:p>
        </w:tc>
      </w:tr>
      <w:tr>
        <w:tc>
          <w:tcPr>
            <w:tcW w:type="dxa" w:w="1300"/>
          </w:tcPr>
          <w:p>
            <w:pPr>
              <w:jc w:val="left"/>
            </w:pPr>
            <w:r>
              <w:rPr>
                <w:b w:val="false"/>
                <w:bCs w:val="false"/>
              </w:rPr>
              <w:t xml:space="preserve">Q3FY27 (Dec-26)</w:t>
            </w:r>
          </w:p>
        </w:tc>
        <w:tc>
          <w:tcPr>
            <w:tcW w:type="dxa" w:w="1700"/>
          </w:tcPr>
          <w:p>
            <w:pPr>
              <w:jc w:val="left"/>
            </w:pPr>
            <w:r>
              <w:rPr>
                <w:b w:val="false"/>
                <w:bCs w:val="false"/>
              </w:rPr>
              <w:t xml:space="preserve">16,500–17,300</w:t>
            </w:r>
          </w:p>
        </w:tc>
        <w:tc>
          <w:tcPr>
            <w:tcW w:type="dxa" w:w="1100"/>
          </w:tcPr>
          <w:p>
            <w:pPr>
              <w:jc w:val="left"/>
            </w:pPr>
            <w:r>
              <w:rPr>
                <w:b w:val="false"/>
                <w:bCs w:val="false"/>
              </w:rPr>
              <w:t xml:space="preserve">+19–24%</w:t>
            </w:r>
          </w:p>
        </w:tc>
        <w:tc>
          <w:tcPr>
            <w:tcW w:type="dxa" w:w="1500"/>
          </w:tcPr>
          <w:p>
            <w:pPr>
              <w:jc w:val="left"/>
            </w:pPr>
            <w:r>
              <w:rPr>
                <w:b w:val="false"/>
                <w:bCs w:val="false"/>
              </w:rPr>
              <w:t xml:space="preserve">23.5–24.5%</w:t>
            </w:r>
          </w:p>
        </w:tc>
        <w:tc>
          <w:tcPr>
            <w:tcW w:type="dxa" w:w="1300"/>
          </w:tcPr>
          <w:p>
            <w:pPr>
              <w:jc w:val="left"/>
            </w:pPr>
            <w:r>
              <w:rPr>
                <w:b w:val="false"/>
                <w:bCs w:val="false"/>
              </w:rPr>
              <w:t xml:space="preserve">2,300–2,500</w:t>
            </w:r>
          </w:p>
        </w:tc>
        <w:tc>
          <w:tcPr>
            <w:tcW w:type="dxa" w:w="2400"/>
          </w:tcPr>
          <w:p>
            <w:pPr>
              <w:jc w:val="left"/>
            </w:pPr>
            <w:r>
              <w:rPr>
                <w:b w:val="false"/>
                <w:bCs w:val="false"/>
              </w:rPr>
              <w:t xml:space="preserve">Zurich/India peptide capacity starts commissioning</w:t>
            </w:r>
          </w:p>
        </w:tc>
      </w:tr>
      <w:tr>
        <w:tc>
          <w:tcPr>
            <w:tcW w:type="dxa" w:w="1300"/>
          </w:tcPr>
          <w:p>
            <w:pPr>
              <w:jc w:val="left"/>
            </w:pPr>
            <w:r>
              <w:rPr>
                <w:b w:val="false"/>
                <w:bCs w:val="false"/>
              </w:rPr>
              <w:t xml:space="preserve">Q4FY27 (Mar-27)</w:t>
            </w:r>
          </w:p>
        </w:tc>
        <w:tc>
          <w:tcPr>
            <w:tcW w:type="dxa" w:w="1700"/>
          </w:tcPr>
          <w:p>
            <w:pPr>
              <w:jc w:val="left"/>
            </w:pPr>
            <w:r>
              <w:rPr>
                <w:b w:val="false"/>
                <w:bCs w:val="false"/>
              </w:rPr>
              <w:t xml:space="preserve">17,300–18,300</w:t>
            </w:r>
          </w:p>
        </w:tc>
        <w:tc>
          <w:tcPr>
            <w:tcW w:type="dxa" w:w="1100"/>
          </w:tcPr>
          <w:p>
            <w:pPr>
              <w:jc w:val="left"/>
            </w:pPr>
            <w:r>
              <w:rPr>
                <w:b w:val="false"/>
                <w:bCs w:val="false"/>
              </w:rPr>
              <w:t xml:space="preserve">+18–24%</w:t>
            </w:r>
          </w:p>
        </w:tc>
        <w:tc>
          <w:tcPr>
            <w:tcW w:type="dxa" w:w="1500"/>
          </w:tcPr>
          <w:p>
            <w:pPr>
              <w:jc w:val="left"/>
            </w:pPr>
            <w:r>
              <w:rPr>
                <w:b w:val="false"/>
                <w:bCs w:val="false"/>
              </w:rPr>
              <w:t xml:space="preserve">24.0–25.0%</w:t>
            </w:r>
          </w:p>
        </w:tc>
        <w:tc>
          <w:tcPr>
            <w:tcW w:type="dxa" w:w="1300"/>
          </w:tcPr>
          <w:p>
            <w:pPr>
              <w:jc w:val="left"/>
            </w:pPr>
            <w:r>
              <w:rPr>
                <w:b w:val="false"/>
                <w:bCs w:val="false"/>
              </w:rPr>
              <w:t xml:space="preserve">2,500–2,750</w:t>
            </w:r>
          </w:p>
        </w:tc>
        <w:tc>
          <w:tcPr>
            <w:tcW w:type="dxa" w:w="2400"/>
          </w:tcPr>
          <w:p>
            <w:pPr>
              <w:jc w:val="left"/>
            </w:pPr>
            <w:r>
              <w:rPr>
                <w:b w:val="false"/>
                <w:bCs w:val="false"/>
              </w:rPr>
              <w:t xml:space="preserve">GLS full-year utilisation run-rate visible; FY27 CDMO PAT-positive checkpoint</w:t>
            </w:r>
          </w:p>
        </w:tc>
      </w:tr>
      <w:tr>
        <w:tc>
          <w:tcPr>
            <w:tcW w:type="dxa" w:w="1300"/>
          </w:tcPr>
          <w:p>
            <w:pPr>
              <w:jc w:val="left"/>
            </w:pPr>
            <w:r>
              <w:rPr>
                <w:b w:val="false"/>
                <w:bCs w:val="false"/>
              </w:rPr>
              <w:t xml:space="preserve">FY27 (sum)</w:t>
            </w:r>
          </w:p>
        </w:tc>
        <w:tc>
          <w:tcPr>
            <w:tcW w:type="dxa" w:w="1700"/>
          </w:tcPr>
          <w:p>
            <w:pPr>
              <w:jc w:val="left"/>
            </w:pPr>
            <w:r>
              <w:rPr>
                <w:b w:val="false"/>
                <w:bCs w:val="false"/>
              </w:rPr>
              <w:t xml:space="preserve">64,800–67,700</w:t>
            </w:r>
          </w:p>
        </w:tc>
        <w:tc>
          <w:tcPr>
            <w:tcW w:type="dxa" w:w="1100"/>
          </w:tcPr>
          <w:p>
            <w:pPr>
              <w:jc w:val="left"/>
            </w:pPr>
            <w:r>
              <w:rPr>
                <w:b w:val="false"/>
                <w:bCs w:val="false"/>
              </w:rPr>
              <w:t xml:space="preserve">+21–26%</w:t>
            </w:r>
          </w:p>
        </w:tc>
        <w:tc>
          <w:tcPr>
            <w:tcW w:type="dxa" w:w="1500"/>
          </w:tcPr>
          <w:p>
            <w:pPr>
              <w:jc w:val="left"/>
            </w:pPr>
            <w:r>
              <w:rPr>
                <w:b w:val="false"/>
                <w:bCs w:val="false"/>
              </w:rPr>
              <w:t xml:space="preserve">23.3–24.3%</w:t>
            </w:r>
          </w:p>
        </w:tc>
        <w:tc>
          <w:tcPr>
            <w:tcW w:type="dxa" w:w="1300"/>
          </w:tcPr>
          <w:p>
            <w:pPr>
              <w:jc w:val="left"/>
            </w:pPr>
            <w:r>
              <w:rPr>
                <w:b w:val="false"/>
                <w:bCs w:val="false"/>
              </w:rPr>
              <w:t xml:space="preserve">8,950–9,750</w:t>
            </w:r>
          </w:p>
        </w:tc>
        <w:tc>
          <w:tcPr>
            <w:tcW w:type="dxa" w:w="2400"/>
          </w:tcPr>
          <w:p>
            <w:pPr>
              <w:jc w:val="left"/>
            </w:pPr>
            <w:r>
              <w:rPr>
                <w:b w:val="false"/>
                <w:bCs w:val="false"/>
              </w:rPr>
              <w:t xml:space="preserve">Composite of above; consensus PAT growth 15–20% YoY implies FY27 PAT of ~₹6,850–7,150mn — meaningfully below this bottom-up build, i.e. a possible upside surprise vs. street if execution holds [flag]</w:t>
            </w:r>
          </w:p>
        </w:tc>
      </w:tr>
      <w:tr>
        <w:tc>
          <w:tcPr>
            <w:tcW w:type="dxa" w:w="1300"/>
          </w:tcPr>
          <w:p>
            <w:pPr>
              <w:jc w:val="left"/>
            </w:pPr>
            <w:r>
              <w:rPr>
                <w:b w:val="false"/>
                <w:bCs w:val="false"/>
              </w:rPr>
              <w:t xml:space="preserve">Q1FY28 (Jun-27)</w:t>
            </w:r>
          </w:p>
        </w:tc>
        <w:tc>
          <w:tcPr>
            <w:tcW w:type="dxa" w:w="1700"/>
          </w:tcPr>
          <w:p>
            <w:pPr>
              <w:jc w:val="left"/>
            </w:pPr>
            <w:r>
              <w:rPr>
                <w:b w:val="false"/>
                <w:bCs w:val="false"/>
              </w:rPr>
              <w:t xml:space="preserve">18,000–19,200</w:t>
            </w:r>
          </w:p>
        </w:tc>
        <w:tc>
          <w:tcPr>
            <w:tcW w:type="dxa" w:w="1100"/>
          </w:tcPr>
          <w:p>
            <w:pPr>
              <w:jc w:val="left"/>
            </w:pPr>
            <w:r>
              <w:rPr>
                <w:b w:val="false"/>
                <w:bCs w:val="false"/>
              </w:rPr>
              <w:t xml:space="preserve">+18–22%</w:t>
            </w:r>
          </w:p>
        </w:tc>
        <w:tc>
          <w:tcPr>
            <w:tcW w:type="dxa" w:w="1500"/>
          </w:tcPr>
          <w:p>
            <w:pPr>
              <w:jc w:val="left"/>
            </w:pPr>
            <w:r>
              <w:rPr>
                <w:b w:val="false"/>
                <w:bCs w:val="false"/>
              </w:rPr>
              <w:t xml:space="preserve">24.0–25.5%</w:t>
            </w:r>
          </w:p>
        </w:tc>
        <w:tc>
          <w:tcPr>
            <w:tcW w:type="dxa" w:w="1300"/>
          </w:tcPr>
          <w:p>
            <w:pPr>
              <w:jc w:val="left"/>
            </w:pPr>
            <w:r>
              <w:rPr>
                <w:b w:val="false"/>
                <w:bCs w:val="false"/>
              </w:rPr>
              <w:t xml:space="preserve">2,650–2,950</w:t>
            </w:r>
          </w:p>
        </w:tc>
        <w:tc>
          <w:tcPr>
            <w:tcW w:type="dxa" w:w="2400"/>
          </w:tcPr>
          <w:p>
            <w:pPr>
              <w:jc w:val="left"/>
            </w:pPr>
            <w:r>
              <w:rPr>
                <w:b w:val="false"/>
                <w:bCs w:val="false"/>
              </w:rPr>
              <w:t xml:space="preserve">India peptide intermediate plant ramping; new API facility online</w:t>
            </w:r>
          </w:p>
        </w:tc>
      </w:tr>
      <w:tr>
        <w:tc>
          <w:tcPr>
            <w:tcW w:type="dxa" w:w="1300"/>
          </w:tcPr>
          <w:p>
            <w:pPr>
              <w:jc w:val="left"/>
            </w:pPr>
            <w:r>
              <w:rPr>
                <w:b w:val="false"/>
                <w:bCs w:val="false"/>
              </w:rPr>
              <w:t xml:space="preserve">Q2FY28 (Sep-27)</w:t>
            </w:r>
          </w:p>
        </w:tc>
        <w:tc>
          <w:tcPr>
            <w:tcW w:type="dxa" w:w="1700"/>
          </w:tcPr>
          <w:p>
            <w:pPr>
              <w:jc w:val="left"/>
            </w:pPr>
            <w:r>
              <w:rPr>
                <w:b w:val="false"/>
                <w:bCs w:val="false"/>
              </w:rPr>
              <w:t xml:space="preserve">18,700–20,000</w:t>
            </w:r>
          </w:p>
        </w:tc>
        <w:tc>
          <w:tcPr>
            <w:tcW w:type="dxa" w:w="1100"/>
          </w:tcPr>
          <w:p>
            <w:pPr>
              <w:jc w:val="left"/>
            </w:pPr>
            <w:r>
              <w:rPr>
                <w:b w:val="false"/>
                <w:bCs w:val="false"/>
              </w:rPr>
              <w:t xml:space="preserve">+18–22%</w:t>
            </w:r>
          </w:p>
        </w:tc>
        <w:tc>
          <w:tcPr>
            <w:tcW w:type="dxa" w:w="1500"/>
          </w:tcPr>
          <w:p>
            <w:pPr>
              <w:jc w:val="left"/>
            </w:pPr>
            <w:r>
              <w:rPr>
                <w:b w:val="false"/>
                <w:bCs w:val="false"/>
              </w:rPr>
              <w:t xml:space="preserve">24.5–26.0%</w:t>
            </w:r>
          </w:p>
        </w:tc>
        <w:tc>
          <w:tcPr>
            <w:tcW w:type="dxa" w:w="1300"/>
          </w:tcPr>
          <w:p>
            <w:pPr>
              <w:jc w:val="left"/>
            </w:pPr>
            <w:r>
              <w:rPr>
                <w:b w:val="false"/>
                <w:bCs w:val="false"/>
              </w:rPr>
              <w:t xml:space="preserve">2,850–3,150</w:t>
            </w:r>
          </w:p>
        </w:tc>
        <w:tc>
          <w:tcPr>
            <w:tcW w:type="dxa" w:w="2400"/>
          </w:tcPr>
          <w:p>
            <w:pPr>
              <w:jc w:val="left"/>
            </w:pPr>
            <w:r>
              <w:rPr>
                <w:b w:val="false"/>
                <w:bCs w:val="false"/>
              </w:rPr>
              <w:t xml:space="preserve">DCDA commercial output reducing metformin RM cost</w:t>
            </w:r>
          </w:p>
        </w:tc>
      </w:tr>
      <w:tr>
        <w:tc>
          <w:tcPr>
            <w:tcW w:type="dxa" w:w="1300"/>
          </w:tcPr>
          <w:p>
            <w:pPr>
              <w:jc w:val="left"/>
            </w:pPr>
            <w:r>
              <w:rPr>
                <w:b w:val="false"/>
                <w:bCs w:val="false"/>
              </w:rPr>
              <w:t xml:space="preserve">Q3FY28 (Dec-27)</w:t>
            </w:r>
          </w:p>
        </w:tc>
        <w:tc>
          <w:tcPr>
            <w:tcW w:type="dxa" w:w="1700"/>
          </w:tcPr>
          <w:p>
            <w:pPr>
              <w:jc w:val="left"/>
            </w:pPr>
            <w:r>
              <w:rPr>
                <w:b w:val="false"/>
                <w:bCs w:val="false"/>
              </w:rPr>
              <w:t xml:space="preserve">19,400–20,900</w:t>
            </w:r>
          </w:p>
        </w:tc>
        <w:tc>
          <w:tcPr>
            <w:tcW w:type="dxa" w:w="1100"/>
          </w:tcPr>
          <w:p>
            <w:pPr>
              <w:jc w:val="left"/>
            </w:pPr>
            <w:r>
              <w:rPr>
                <w:b w:val="false"/>
                <w:bCs w:val="false"/>
              </w:rPr>
              <w:t xml:space="preserve">+17–21%</w:t>
            </w:r>
          </w:p>
        </w:tc>
        <w:tc>
          <w:tcPr>
            <w:tcW w:type="dxa" w:w="1500"/>
          </w:tcPr>
          <w:p>
            <w:pPr>
              <w:jc w:val="left"/>
            </w:pPr>
            <w:r>
              <w:rPr>
                <w:b w:val="false"/>
                <w:bCs w:val="false"/>
              </w:rPr>
              <w:t xml:space="preserve">24.5–26.0%</w:t>
            </w:r>
          </w:p>
        </w:tc>
        <w:tc>
          <w:tcPr>
            <w:tcW w:type="dxa" w:w="1300"/>
          </w:tcPr>
          <w:p>
            <w:pPr>
              <w:jc w:val="left"/>
            </w:pPr>
            <w:r>
              <w:rPr>
                <w:b w:val="false"/>
                <w:bCs w:val="false"/>
              </w:rPr>
              <w:t xml:space="preserve">3,000–3,350</w:t>
            </w:r>
          </w:p>
        </w:tc>
        <w:tc>
          <w:tcPr>
            <w:tcW w:type="dxa" w:w="2400"/>
          </w:tcPr>
          <w:p>
            <w:pPr>
              <w:jc w:val="left"/>
            </w:pPr>
            <w:r>
              <w:rPr>
                <w:b w:val="false"/>
                <w:bCs w:val="false"/>
              </w:rPr>
              <w:t xml:space="preserve">Peptide India API capacity phase begins</w:t>
            </w:r>
          </w:p>
        </w:tc>
      </w:tr>
      <w:tr>
        <w:tc>
          <w:tcPr>
            <w:tcW w:type="dxa" w:w="1300"/>
          </w:tcPr>
          <w:p>
            <w:pPr>
              <w:jc w:val="left"/>
            </w:pPr>
            <w:r>
              <w:rPr>
                <w:b w:val="false"/>
                <w:bCs w:val="false"/>
              </w:rPr>
              <w:t xml:space="preserve">Q4FY28 (Mar-28)</w:t>
            </w:r>
          </w:p>
        </w:tc>
        <w:tc>
          <w:tcPr>
            <w:tcW w:type="dxa" w:w="1700"/>
          </w:tcPr>
          <w:p>
            <w:pPr>
              <w:jc w:val="left"/>
            </w:pPr>
            <w:r>
              <w:rPr>
                <w:b w:val="false"/>
                <w:bCs w:val="false"/>
              </w:rPr>
              <w:t xml:space="preserve">20,300–22,000</w:t>
            </w:r>
          </w:p>
        </w:tc>
        <w:tc>
          <w:tcPr>
            <w:tcW w:type="dxa" w:w="1100"/>
          </w:tcPr>
          <w:p>
            <w:pPr>
              <w:jc w:val="left"/>
            </w:pPr>
            <w:r>
              <w:rPr>
                <w:b w:val="false"/>
                <w:bCs w:val="false"/>
              </w:rPr>
              <w:t xml:space="preserve">+17–20%</w:t>
            </w:r>
          </w:p>
        </w:tc>
        <w:tc>
          <w:tcPr>
            <w:tcW w:type="dxa" w:w="1500"/>
          </w:tcPr>
          <w:p>
            <w:pPr>
              <w:jc w:val="left"/>
            </w:pPr>
            <w:r>
              <w:rPr>
                <w:b w:val="false"/>
                <w:bCs w:val="false"/>
              </w:rPr>
              <w:t xml:space="preserve">25.0–26.5%</w:t>
            </w:r>
          </w:p>
        </w:tc>
        <w:tc>
          <w:tcPr>
            <w:tcW w:type="dxa" w:w="1300"/>
          </w:tcPr>
          <w:p>
            <w:pPr>
              <w:jc w:val="left"/>
            </w:pPr>
            <w:r>
              <w:rPr>
                <w:b w:val="false"/>
                <w:bCs w:val="false"/>
              </w:rPr>
              <w:t xml:space="preserve">3,250–3,650</w:t>
            </w:r>
          </w:p>
        </w:tc>
        <w:tc>
          <w:tcPr>
            <w:tcW w:type="dxa" w:w="2400"/>
          </w:tcPr>
          <w:p>
            <w:pPr>
              <w:jc w:val="left"/>
            </w:pPr>
            <w:r>
              <w:rPr>
                <w:b w:val="false"/>
                <w:bCs w:val="false"/>
              </w:rPr>
              <w:t xml:space="preserve">Full-year run-rate on all FY27-commissioned capacity</w:t>
            </w:r>
          </w:p>
        </w:tc>
      </w:tr>
      <w:tr>
        <w:tc>
          <w:tcPr>
            <w:tcW w:type="dxa" w:w="1300"/>
          </w:tcPr>
          <w:p>
            <w:pPr>
              <w:jc w:val="left"/>
            </w:pPr>
            <w:r>
              <w:rPr>
                <w:b w:val="false"/>
                <w:bCs w:val="false"/>
              </w:rPr>
              <w:t xml:space="preserve">FY28 (sum)</w:t>
            </w:r>
          </w:p>
        </w:tc>
        <w:tc>
          <w:tcPr>
            <w:tcW w:type="dxa" w:w="1700"/>
          </w:tcPr>
          <w:p>
            <w:pPr>
              <w:jc w:val="left"/>
            </w:pPr>
            <w:r>
              <w:rPr>
                <w:b w:val="false"/>
                <w:bCs w:val="false"/>
              </w:rPr>
              <w:t xml:space="preserve">76,400–82,100</w:t>
            </w:r>
          </w:p>
        </w:tc>
        <w:tc>
          <w:tcPr>
            <w:tcW w:type="dxa" w:w="1100"/>
          </w:tcPr>
          <w:p>
            <w:pPr>
              <w:jc w:val="left"/>
            </w:pPr>
            <w:r>
              <w:rPr>
                <w:b w:val="false"/>
                <w:bCs w:val="false"/>
              </w:rPr>
              <w:t xml:space="preserve">+18–21%</w:t>
            </w:r>
          </w:p>
        </w:tc>
        <w:tc>
          <w:tcPr>
            <w:tcW w:type="dxa" w:w="1500"/>
          </w:tcPr>
          <w:p>
            <w:pPr>
              <w:jc w:val="left"/>
            </w:pPr>
            <w:r>
              <w:rPr>
                <w:b w:val="false"/>
                <w:bCs w:val="false"/>
              </w:rPr>
              <w:t xml:space="preserve">24.5–25.7%</w:t>
            </w:r>
          </w:p>
        </w:tc>
        <w:tc>
          <w:tcPr>
            <w:tcW w:type="dxa" w:w="1300"/>
          </w:tcPr>
          <w:p>
            <w:pPr>
              <w:jc w:val="left"/>
            </w:pPr>
            <w:r>
              <w:rPr>
                <w:b w:val="false"/>
                <w:bCs w:val="false"/>
              </w:rPr>
              <w:t xml:space="preserve">11,750–13,100</w:t>
            </w:r>
          </w:p>
        </w:tc>
        <w:tc>
          <w:tcPr>
            <w:tcW w:type="dxa" w:w="2400"/>
          </w:tcPr>
          <w:p>
            <w:pPr>
              <w:jc w:val="left"/>
            </w:pPr>
            <w:r>
              <w:rPr>
                <w:b w:val="false"/>
                <w:bCs w:val="false"/>
              </w:rPr>
              <w:t xml:space="preserve">Second full year of CDMO + GLS + DCDA operating leverage compounding</w:t>
            </w:r>
          </w:p>
        </w:tc>
      </w:tr>
    </w:tbl>
    <w:p>
      <w:pPr>
        <w:spacing w:after="100"/>
      </w:pPr>
      <w:r>
        <w:rPr>
          <w:i/>
          <w:iCs/>
        </w:rPr>
        <w:t xml:space="preserve">Sanity check against the two street/guidance benchmarks (pre-pead two-benchmark discipline): the FY27 bottom-up build above (₹8,950–9,750mn PAT) sits above the 15–20% consensus PAT-growth read (~₹6,850–7,150mn), i.e. Surprise-vs-street is meaningfully positive if the capacity-ramp thesis plays out on schedule — but Surprise-vs-guidance is harder to pin down because management gives no quantitative FY27 P&amp;L guide, only the qualitative 'PAT-positive CDMO' and 'broad-based capex' framing. That asymmetry (a confident bottom-up build vs. thin formal guidance) is itself the key risk flag: the model leans heavily on capacity-timing assumptions management described only directionally ('coming months', 'appropriate stage').</w:t>
      </w:r>
    </w:p>
    <w:p>
      <w:pPr>
        <w:pStyle w:val="Heading1"/>
        <w:spacing w:after="120" w:before="240"/>
      </w:pPr>
      <w:r>
        <w:t xml:space="preserve">5. Capex &amp; balance sheet</w:t>
      </w:r>
    </w:p>
    <w:p>
      <w:pPr>
        <w:pStyle w:val="ListParagraph"/>
        <w:numPr>
          <w:ilvl w:val="0"/>
          <w:numId w:val="1"/>
        </w:numPr>
        <w:spacing w:after="60"/>
      </w:pPr>
      <w:r>
        <w:t xml:space="preserve">FY26 capex: ₹5,547mn (vs ₹5,700mn FY25) — a rare capex-down year, consistent with the 'stabilisation, not expansion' framing of FY26.</w:t>
      </w:r>
    </w:p>
    <w:p>
      <w:pPr>
        <w:pStyle w:val="ListParagraph"/>
        <w:numPr>
          <w:ilvl w:val="0"/>
          <w:numId w:val="1"/>
        </w:numPr>
        <w:spacing w:after="60"/>
      </w:pPr>
      <w:r>
        <w:t xml:space="preserve">FY27 capex guide: ~₹600cr (₹6,000mn), broad-based across a new API facility, IT systems, and the US (Virginia) distribution/warehouse centre (₹200cr+ of that alone). DCDA commercial plant (~₹200cr) appears incremental to this, subject to confirmation once frozen.</w:t>
      </w:r>
    </w:p>
    <w:p>
      <w:pPr>
        <w:pStyle w:val="ListParagraph"/>
        <w:numPr>
          <w:ilvl w:val="0"/>
          <w:numId w:val="1"/>
        </w:numPr>
        <w:spacing w:after="60"/>
      </w:pPr>
      <w:r>
        <w:t xml:space="preserve">Net debt: ₹4,021mn (FY26) vs ₹7,061mn (FY25); net debt/EBITDA improved to 0.34x from 0.75x, aided by a ₹6,656mn equity infusion in FY26. Management guided flat-to-slightly-higher net debt in FY27 given the capex step-up and working-capital build — i.e., the deleverage PAT lever is largely spent already, not a fresh FY27 tailwind.</w:t>
      </w:r>
    </w:p>
    <w:p>
      <w:pPr>
        <w:pStyle w:val="ListParagraph"/>
        <w:numPr>
          <w:ilvl w:val="0"/>
          <w:numId w:val="1"/>
        </w:numPr>
        <w:spacing w:after="60"/>
      </w:pPr>
      <w:r>
        <w:t xml:space="preserve">ROCE: 17.6% (Q4FY26) vs 16.6% (FY25), management noting it has been 'subdued in recent years' due to GLS investment now inflecting as that capacity ships revenue.</w:t>
      </w:r>
    </w:p>
    <w:p>
      <w:pPr>
        <w:pStyle w:val="Heading1"/>
        <w:spacing w:after="120" w:before="240"/>
      </w:pPr>
      <w:r>
        <w:t xml:space="preserve">6. Screener cross-check note</w:t>
      </w:r>
    </w:p>
    <w:p>
      <w:pPr>
        <w:spacing w:after="100"/>
      </w:pPr>
      <w:r>
        <w:rPr>
          <w:i/>
          <w:iCs/>
        </w:rPr>
        <w:t xml:space="preserve">This run did not have live Screener.in session validation performed as part of this response (single-name adaptation, run outside the full scanner pipeline) — flagging per the skill's own discipline rather than silently presenting it as done. If the user wants the independent Screener insights-matrix corroboration (key-ratio and insight-tag cross-check), that is a quick follow-up.</w:t>
      </w:r>
    </w:p>
    <w:p>
      <w:pPr>
        <w:pStyle w:val="Heading1"/>
        <w:spacing w:after="120" w:before="240"/>
      </w:pPr>
      <w:r>
        <w:t xml:space="preserve">7. What could be wrong with this analysis</w:t>
      </w:r>
    </w:p>
    <w:p>
      <w:pPr>
        <w:pStyle w:val="ListParagraph"/>
        <w:numPr>
          <w:ilvl w:val="0"/>
          <w:numId w:val="1"/>
        </w:numPr>
        <w:spacing w:after="60"/>
      </w:pPr>
      <w:r>
        <w:t xml:space="preserve">Capacity-timing risk: nearly every FY27-28 catalyst above (Zurich phase 2, India peptide plant, DCDA commercial plant) is described by management only in qualitative terms ('coming months', 'appropriate stage', 'freeze numbers shortly') — none has a hard commissioning date. A 1-2 quarter slip in any of these pushes the whole roadmap right.</w:t>
      </w:r>
    </w:p>
    <w:p>
      <w:pPr>
        <w:pStyle w:val="ListParagraph"/>
        <w:numPr>
          <w:ilvl w:val="0"/>
          <w:numId w:val="1"/>
        </w:numPr>
        <w:spacing w:after="60"/>
      </w:pPr>
      <w:r>
        <w:t xml:space="preserve">CDMO base is tiny and lumpy: ₹1,593mn FY26 revenue (~3% of group) is project/milestone-driven; a single delayed or cancelled customer program (management itself was asked directly about customer concentration risk on the call) could stall the single highest-margin growth vector.</w:t>
      </w:r>
    </w:p>
    <w:p>
      <w:pPr>
        <w:pStyle w:val="ListParagraph"/>
        <w:numPr>
          <w:ilvl w:val="0"/>
          <w:numId w:val="1"/>
        </w:numPr>
        <w:spacing w:after="60"/>
      </w:pPr>
      <w:r>
        <w:t xml:space="preserve">Gagillapur regulatory overhang unresolved: the US FDA reinspection outcome was still 'awaited' as of the Q4FY26 call (last inspection Aug-2024); this is the largest single-site FD/PFI capacity (26.8bn dosages FD + 23,200 TPA PFI) and any adverse finding would directly cap the FY27-28 utilisation story rather than just being a compliance footnote.</w:t>
      </w:r>
    </w:p>
    <w:p>
      <w:pPr>
        <w:pStyle w:val="ListParagraph"/>
        <w:numPr>
          <w:ilvl w:val="0"/>
          <w:numId w:val="1"/>
        </w:numPr>
        <w:spacing w:after="60"/>
      </w:pPr>
      <w:r>
        <w:t xml:space="preserve">Margin assumptions are directionally, not numerically, guided: management explicitly declined to give FY27 gross-margin clarity given RM/freight cost inflation from the 'West Asia situation' — the EBITDA-margin walk in Section 4.2 is this analyst's extrapolation, not a company number.</w:t>
      </w:r>
    </w:p>
    <w:p>
      <w:pPr>
        <w:pStyle w:val="ListParagraph"/>
        <w:numPr>
          <w:ilvl w:val="0"/>
          <w:numId w:val="1"/>
        </w:numPr>
        <w:spacing w:after="60"/>
      </w:pPr>
      <w:r>
        <w:t xml:space="preserve">DCDA project economics are contested by Chinese price-cutting: management acknowledged Chinese competitors have been 'reducing prices drastically' during Granules' pilot phase — the backward-integration payback case is not settled, only that production has stabilised technically.</w:t>
      </w:r>
    </w:p>
    <w:p>
      <w:pPr>
        <w:pStyle w:val="ListParagraph"/>
        <w:numPr>
          <w:ilvl w:val="0"/>
          <w:numId w:val="1"/>
        </w:numPr>
        <w:spacing w:after="60"/>
      </w:pPr>
      <w:r>
        <w:t xml:space="preserve">Consensus PAT-growth figure (15-20% YoY FY27) sourced via general web search of secondary commentary, not a named broker's published model pulled first-hand in this run — treat as directional street sentiment, not a hard consensus number, and re-verify against a specific research report before trading off it.</w:t>
      </w:r>
    </w:p>
    <w:p>
      <w:pPr>
        <w:pStyle w:val="ListParagraph"/>
        <w:numPr>
          <w:ilvl w:val="0"/>
          <w:numId w:val="1"/>
        </w:numPr>
        <w:spacing w:after="60"/>
      </w:pPr>
      <w:r>
        <w:t xml:space="preserve">This is a single-name, non-scan adaptation of the pre-pead-scanner skill: the historical post-event drift analysis (Step 7 of the standard workflow — does a Granules beat actually move the stock?) and the Screener insights cross-check (Step 3c) were not run in this pass; both would sharpen conviction on tradeability and are natural next steps.</w:t>
      </w:r>
    </w:p>
    <w:p>
      <w:pPr>
        <w:pStyle w:val="Heading1"/>
        <w:spacing w:after="120" w:before="240"/>
      </w:pPr>
      <w:r>
        <w:t xml:space="preserve">8. Sources</w:t>
      </w:r>
    </w:p>
    <w:p>
      <w:pPr>
        <w:pStyle w:val="ListParagraph"/>
        <w:numPr>
          <w:ilvl w:val="0"/>
          <w:numId w:val="1"/>
        </w:numPr>
        <w:spacing w:after="60"/>
      </w:pPr>
      <w:r>
        <w:t xml:space="preserve">Granules India Q4 &amp; FY26 Earnings Conference Call transcript, 29-Apr-2026 (via Stockscans.in document store).</w:t>
      </w:r>
    </w:p>
    <w:p>
      <w:pPr>
        <w:pStyle w:val="ListParagraph"/>
        <w:numPr>
          <w:ilvl w:val="0"/>
          <w:numId w:val="1"/>
        </w:numPr>
        <w:spacing w:after="60"/>
      </w:pPr>
      <w:r>
        <w:t xml:space="preserve">Granules India FY26 Earnings Presentation (investor PPT), Apr-2026 (via Stockscans.in document store).</w:t>
      </w:r>
    </w:p>
    <w:p>
      <w:pPr>
        <w:pStyle w:val="ListParagraph"/>
        <w:numPr>
          <w:ilvl w:val="0"/>
          <w:numId w:val="1"/>
        </w:numPr>
        <w:spacing w:after="60"/>
      </w:pPr>
      <w:r>
        <w:t xml:space="preserve">Granules India Q4/FY26 audited consolidated financial results filing, 29-Apr-2026 (via Stockscans.in document store).</w:t>
      </w:r>
    </w:p>
    <w:p>
      <w:pPr>
        <w:pStyle w:val="ListParagraph"/>
        <w:numPr>
          <w:ilvl w:val="0"/>
          <w:numId w:val="1"/>
        </w:numPr>
        <w:spacing w:after="60"/>
      </w:pPr>
      <w:r>
        <w:t xml:space="preserve">Granules India Q3FY26/Q2FY26 consolidated financial results filings (for quarterly revenue/PAT trend reconstruction).</w:t>
      </w:r>
    </w:p>
    <w:p>
      <w:pPr>
        <w:pStyle w:val="ListParagraph"/>
        <w:numPr>
          <w:ilvl w:val="0"/>
          <w:numId w:val="1"/>
        </w:numPr>
        <w:spacing w:after="60"/>
      </w:pPr>
      <w:r>
        <w:t xml:space="preserve">Web search, Jul-2026: brokerage/consensus commentary on Granules India FY26/FY27 EPS, PAT-growth expectations and price target (Alpha Spread, TradingView, Simply Wall St, Investing.com, ICICI Direct, Univest — aggregated secondary commentary, not a single named broker PDF).</w:t>
      </w:r>
    </w:p>
    <w:p>
      <w:pPr>
        <w:pStyle w:val="ListParagraph"/>
        <w:numPr>
          <w:ilvl w:val="0"/>
          <w:numId w:val="1"/>
        </w:numPr>
        <w:spacing w:after="60"/>
      </w:pPr>
      <w:r>
        <w:t xml:space="preserve">Web search, Jul-2026 and Q3FY24 earnings call transcript (Jan-2024, Granulesindia.com) for DCDA/PAP Vizag project background context predating the current pilot-to-commercial transition.</w:t>
      </w:r>
    </w:p>
    <w:p>
      <w:pPr>
        <w:pStyle w:val="Heading1"/>
        <w:spacing w:after="120" w:before="240"/>
      </w:pPr>
      <w:r>
        <w:t xml:space="preserve">9. Files touched (this session)</w:t>
      </w:r>
    </w:p>
    <w:p>
      <w:pPr>
        <w:pStyle w:val="ListParagraph"/>
        <w:numPr>
          <w:ilvl w:val="0"/>
          <w:numId w:val="1"/>
        </w:numPr>
        <w:spacing w:after="60"/>
      </w:pPr>
      <w:r>
        <w:t xml:space="preserve">Fetched (not persisted to repo DB — this was an ad hoc single-name pull, not a scan run through the standard pipeline): NSE_GRANULES_{PPT,Result,Transcript}_202509/202512/202603.pdf → /tmp/granules_docs/ (session-local, not written to the stockmarket repo's data/ or Drive).</w:t>
      </w:r>
    </w:p>
    <w:p>
      <w:pPr>
        <w:pStyle w:val="ListParagraph"/>
        <w:numPr>
          <w:ilvl w:val="0"/>
          <w:numId w:val="1"/>
        </w:numPr>
        <w:spacing w:after="60"/>
      </w:pPr>
      <w:r>
        <w:t xml:space="preserve">No records written to the Drive DB (lib/db.js) or data/v2 mirror — this run did not go through data.js push, consistent with it being a single-company deep dive rather than the full scanner pipeline's DTO output.</w:t>
      </w:r>
    </w:p>
    <w:p>
      <w:pPr>
        <w:pStyle w:val="ListParagraph"/>
        <w:numPr>
          <w:ilvl w:val="0"/>
          <w:numId w:val="1"/>
        </w:numPr>
        <w:spacing w:after="60"/>
      </w:pPr>
      <w:r>
        <w:t xml:space="preserve">Deliverable: this Word document — /Users/darshan.patel/code/personal/stockmarket/Granules_India_PrePEAD_CapacityRamp_FY27-28_Roadmap.docx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2026-07-10T20:23:11.042Z</dcterms:created>
  <dcterms:modified xsi:type="dcterms:W3CDTF">2026-07-10T20:23:11.042Z</dcterms:modified>
</cp:coreProperties>
</file>

<file path=docProps/custom.xml><?xml version="1.0" encoding="utf-8"?>
<Properties xmlns="http://schemas.openxmlformats.org/officeDocument/2006/custom-properties" xmlns:vt="http://schemas.openxmlformats.org/officeDocument/2006/docPropsVTypes"/>
</file>