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AD9" w:rsidRDefault="008153F2">
      <w:pPr>
        <w:spacing w:before="1500"/>
        <w:jc w:val="center"/>
        <w:rPr>
          <w:rFonts w:hint="eastAsia"/>
        </w:rPr>
      </w:pPr>
      <w:r>
        <w:rPr>
          <w:b/>
          <w:color w:val="2E405F"/>
          <w:sz w:val="68"/>
        </w:rPr>
        <w:t>FINANCIAL FRAUD</w:t>
      </w:r>
      <w:r>
        <w:rPr>
          <w:b/>
          <w:color w:val="2E405F"/>
          <w:sz w:val="68"/>
        </w:rPr>
        <w:br/>
        <w:t>ANALYSIS</w:t>
      </w:r>
    </w:p>
    <w:p w:rsidR="003C4AD9" w:rsidRDefault="008153F2">
      <w:pPr>
        <w:jc w:val="center"/>
        <w:rPr>
          <w:rFonts w:hint="eastAsia"/>
        </w:rPr>
      </w:pPr>
      <w:r>
        <w:rPr>
          <w:color w:val="3A9BC1"/>
          <w:sz w:val="30"/>
        </w:rPr>
        <w:t>A Python-Based Exploratory Data Analysis of Fraud Patterns,</w:t>
      </w:r>
      <w:r>
        <w:rPr>
          <w:color w:val="3A9BC1"/>
          <w:sz w:val="30"/>
        </w:rPr>
        <w:br/>
        <w:t>Risk Indicators, and Business Implications</w:t>
      </w:r>
    </w:p>
    <w:p w:rsidR="003C4AD9" w:rsidRDefault="008153F2">
      <w:pPr>
        <w:rPr>
          <w:rFonts w:hint="eastAsia"/>
        </w:rPr>
      </w:pPr>
      <w:r>
        <w:br/>
      </w:r>
    </w:p>
    <w:p w:rsidR="003C4AD9" w:rsidRDefault="008153F2">
      <w:pPr>
        <w:jc w:val="center"/>
        <w:rPr>
          <w:rFonts w:hint="eastAsia"/>
        </w:rPr>
      </w:pPr>
      <w:r>
        <w:rPr>
          <w:b/>
          <w:sz w:val="22"/>
        </w:rPr>
        <w:t>Dataset: 1,000,000 Transactions  |  Period: 2020–2024</w:t>
      </w:r>
    </w:p>
    <w:p w:rsidR="003C4AD9" w:rsidRDefault="008153F2">
      <w:pPr>
        <w:jc w:val="center"/>
        <w:rPr>
          <w:rFonts w:hint="eastAsia"/>
        </w:rPr>
      </w:pPr>
      <w:r>
        <w:rPr>
          <w:sz w:val="22"/>
        </w:rPr>
        <w:t>Prepared by Darshan</w:t>
      </w:r>
      <w:r>
        <w:rPr>
          <w:sz w:val="22"/>
        </w:rPr>
        <w:br/>
        <w:t>Data Analytics &amp; Business Intelligence Project</w:t>
      </w:r>
    </w:p>
    <w:p w:rsidR="003C4AD9" w:rsidRDefault="008153F2">
      <w:pPr>
        <w:rPr>
          <w:rFonts w:hint="eastAsia"/>
        </w:rPr>
      </w:pPr>
      <w:r>
        <w:br w:type="page"/>
      </w:r>
    </w:p>
    <w:p w:rsidR="003C4AD9" w:rsidRDefault="008153F2">
      <w:pPr>
        <w:pStyle w:val="Heading1"/>
      </w:pPr>
      <w:r>
        <w:lastRenderedPageBreak/>
        <w:t>Executive Summary</w:t>
      </w:r>
    </w:p>
    <w:p w:rsidR="003C4AD9" w:rsidRDefault="008153F2">
      <w:pPr>
        <w:rPr>
          <w:rFonts w:hint="eastAsia"/>
        </w:rPr>
      </w:pPr>
      <w:r>
        <w:t>This report analyzes 1,000,000 financial transactions recorded between 2020 and 2024 to identify fraud patterns, distinguish fraud volume from actual fraud risk, and translate the findings into practical business recommendations. Across t</w:t>
      </w:r>
      <w:r>
        <w:t>he full dataset, 55,255 transactions were fraudulent, producing an overall fraud rate of 5.53%. The detailed investigation focuses primarily on 2024, the latest year available.</w:t>
      </w:r>
    </w:p>
    <w:tbl>
      <w:tblPr>
        <w:tblW w:w="0" w:type="auto"/>
        <w:jc w:val="center"/>
        <w:tblLook w:val="04A0" w:firstRow="1" w:lastRow="0" w:firstColumn="1" w:lastColumn="0" w:noHBand="0" w:noVBand="1"/>
      </w:tblPr>
      <w:tblGrid>
        <w:gridCol w:w="2374"/>
        <w:gridCol w:w="2293"/>
        <w:gridCol w:w="2282"/>
        <w:gridCol w:w="2293"/>
      </w:tblGrid>
      <w:tr w:rsidR="003C4AD9">
        <w:trPr>
          <w:jc w:val="center"/>
        </w:trPr>
        <w:tc>
          <w:tcPr>
            <w:tcW w:w="2520" w:type="dxa"/>
            <w:shd w:val="clear" w:color="auto" w:fill="DDEFF5"/>
          </w:tcPr>
          <w:p w:rsidR="003C4AD9" w:rsidRDefault="008153F2">
            <w:pPr>
              <w:jc w:val="center"/>
              <w:rPr>
                <w:rFonts w:hint="eastAsia"/>
              </w:rPr>
            </w:pPr>
            <w:r>
              <w:rPr>
                <w:b/>
                <w:color w:val="2E405F"/>
                <w:sz w:val="32"/>
              </w:rPr>
              <w:t>1,000,000</w:t>
            </w:r>
            <w:r>
              <w:rPr>
                <w:b/>
                <w:color w:val="2E405F"/>
                <w:sz w:val="32"/>
              </w:rPr>
              <w:br/>
            </w:r>
            <w:r>
              <w:rPr>
                <w:color w:val="666666"/>
                <w:sz w:val="17"/>
              </w:rPr>
              <w:t>Transactions</w:t>
            </w:r>
          </w:p>
        </w:tc>
        <w:tc>
          <w:tcPr>
            <w:tcW w:w="2520" w:type="dxa"/>
            <w:shd w:val="clear" w:color="auto" w:fill="DDEFF5"/>
          </w:tcPr>
          <w:p w:rsidR="003C4AD9" w:rsidRDefault="008153F2">
            <w:pPr>
              <w:jc w:val="center"/>
              <w:rPr>
                <w:rFonts w:hint="eastAsia"/>
              </w:rPr>
            </w:pPr>
            <w:r>
              <w:rPr>
                <w:b/>
                <w:color w:val="2E405F"/>
                <w:sz w:val="32"/>
              </w:rPr>
              <w:t>55,255</w:t>
            </w:r>
            <w:r>
              <w:rPr>
                <w:b/>
                <w:color w:val="2E405F"/>
                <w:sz w:val="32"/>
              </w:rPr>
              <w:br/>
            </w:r>
            <w:r>
              <w:rPr>
                <w:color w:val="666666"/>
                <w:sz w:val="17"/>
              </w:rPr>
              <w:t>Fraud Transactions</w:t>
            </w:r>
          </w:p>
        </w:tc>
        <w:tc>
          <w:tcPr>
            <w:tcW w:w="2520" w:type="dxa"/>
            <w:shd w:val="clear" w:color="auto" w:fill="DDEFF5"/>
          </w:tcPr>
          <w:p w:rsidR="003C4AD9" w:rsidRDefault="008153F2">
            <w:pPr>
              <w:jc w:val="center"/>
              <w:rPr>
                <w:rFonts w:hint="eastAsia"/>
              </w:rPr>
            </w:pPr>
            <w:r>
              <w:rPr>
                <w:b/>
                <w:color w:val="2E405F"/>
                <w:sz w:val="32"/>
              </w:rPr>
              <w:t>5.53%</w:t>
            </w:r>
            <w:r>
              <w:rPr>
                <w:b/>
                <w:color w:val="2E405F"/>
                <w:sz w:val="32"/>
              </w:rPr>
              <w:br/>
            </w:r>
            <w:r>
              <w:rPr>
                <w:color w:val="666666"/>
                <w:sz w:val="17"/>
              </w:rPr>
              <w:t>Overall Fraud Rate</w:t>
            </w:r>
          </w:p>
        </w:tc>
        <w:tc>
          <w:tcPr>
            <w:tcW w:w="2520" w:type="dxa"/>
            <w:shd w:val="clear" w:color="auto" w:fill="DDEFF5"/>
          </w:tcPr>
          <w:p w:rsidR="003C4AD9" w:rsidRDefault="008153F2">
            <w:pPr>
              <w:jc w:val="center"/>
              <w:rPr>
                <w:rFonts w:hint="eastAsia"/>
              </w:rPr>
            </w:pPr>
            <w:r>
              <w:rPr>
                <w:b/>
                <w:color w:val="2E405F"/>
                <w:sz w:val="32"/>
              </w:rPr>
              <w:t>48,12</w:t>
            </w:r>
            <w:r>
              <w:rPr>
                <w:b/>
                <w:color w:val="2E405F"/>
                <w:sz w:val="32"/>
              </w:rPr>
              <w:t>1</w:t>
            </w:r>
            <w:r>
              <w:rPr>
                <w:b/>
                <w:color w:val="2E405F"/>
                <w:sz w:val="32"/>
              </w:rPr>
              <w:br/>
            </w:r>
            <w:r>
              <w:rPr>
                <w:color w:val="666666"/>
                <w:sz w:val="17"/>
              </w:rPr>
              <w:t>Customers Affected</w:t>
            </w:r>
          </w:p>
        </w:tc>
      </w:tr>
    </w:tbl>
    <w:p w:rsidR="003C4AD9" w:rsidRDefault="003C4AD9">
      <w:pPr>
        <w:rPr>
          <w:rFonts w:hint="eastAsia"/>
        </w:rPr>
      </w:pPr>
    </w:p>
    <w:p w:rsidR="003C4AD9" w:rsidRDefault="008153F2">
      <w:pPr>
        <w:rPr>
          <w:rFonts w:hint="eastAsia"/>
        </w:rPr>
      </w:pPr>
      <w:r>
        <w:t>The strongest observed risk signals were repeated failed attempts, international transaction status, and merchant category. Transactions associated with two or more failed attempts showed fraud rates near 14%, international transacti</w:t>
      </w:r>
      <w:r>
        <w:t>ons reached 9.85%, and Jewelry, ATM Withdrawal, and Crypto Exchange each exceeded 8.7%. By contrast, high fraud counts for the USA, Mobile devices, and Credit Cards mainly reflected transaction volume and should not automatically be interpreted as higher i</w:t>
      </w:r>
      <w:r>
        <w:t>nherent risk.</w:t>
      </w:r>
    </w:p>
    <w:p w:rsidR="003C4AD9" w:rsidRDefault="008153F2">
      <w:pPr>
        <w:pStyle w:val="Heading2"/>
      </w:pPr>
      <w:r>
        <w:t>Objectives</w:t>
      </w:r>
    </w:p>
    <w:p w:rsidR="003C4AD9" w:rsidRDefault="008153F2">
      <w:pPr>
        <w:pStyle w:val="ListBullet"/>
        <w:rPr>
          <w:rFonts w:hint="eastAsia"/>
        </w:rPr>
      </w:pPr>
      <w:r>
        <w:t>Establish the overall scale and persistence of fraud.</w:t>
      </w:r>
    </w:p>
    <w:p w:rsidR="003C4AD9" w:rsidRDefault="008153F2">
      <w:pPr>
        <w:pStyle w:val="ListBullet"/>
        <w:rPr>
          <w:rFonts w:hint="eastAsia"/>
        </w:rPr>
      </w:pPr>
      <w:r>
        <w:t>Identify where fraud cases are concentrated across countries, payment methods, devices, customer groups, and merchant categories.</w:t>
      </w:r>
    </w:p>
    <w:p w:rsidR="003C4AD9" w:rsidRDefault="008153F2">
      <w:pPr>
        <w:pStyle w:val="ListBullet"/>
        <w:rPr>
          <w:rFonts w:hint="eastAsia"/>
        </w:rPr>
      </w:pPr>
      <w:r>
        <w:t>Separate high fraud volume from high fraud rate</w:t>
      </w:r>
      <w:r>
        <w:t xml:space="preserve"> to avoid misleading risk conclusions.</w:t>
      </w:r>
    </w:p>
    <w:p w:rsidR="003C4AD9" w:rsidRDefault="008153F2">
      <w:pPr>
        <w:pStyle w:val="ListBullet"/>
      </w:pPr>
      <w:r>
        <w:t>Identify actionable behavioral and transaction-level indicators that can support risk-based monitoring.</w:t>
      </w:r>
    </w:p>
    <w:p w:rsidR="00B50926" w:rsidRDefault="00B50926">
      <w:pPr>
        <w:pStyle w:val="ListBullet"/>
        <w:rPr>
          <w:rFonts w:hint="eastAsia"/>
        </w:rPr>
      </w:pPr>
    </w:p>
    <w:p w:rsidR="003C4AD9" w:rsidRDefault="008153F2">
      <w:pPr>
        <w:pStyle w:val="Heading1"/>
      </w:pPr>
      <w:r>
        <w:t>Dataset Overview</w:t>
      </w:r>
    </w:p>
    <w:tbl>
      <w:tblPr>
        <w:tblW w:w="0" w:type="auto"/>
        <w:jc w:val="center"/>
        <w:tblLook w:val="04A0" w:firstRow="1" w:lastRow="0" w:firstColumn="1" w:lastColumn="0" w:noHBand="0" w:noVBand="1"/>
      </w:tblPr>
      <w:tblGrid>
        <w:gridCol w:w="2266"/>
        <w:gridCol w:w="2309"/>
        <w:gridCol w:w="2353"/>
        <w:gridCol w:w="2314"/>
      </w:tblGrid>
      <w:tr w:rsidR="003C4AD9">
        <w:trPr>
          <w:jc w:val="center"/>
        </w:trPr>
        <w:tc>
          <w:tcPr>
            <w:tcW w:w="2520" w:type="dxa"/>
            <w:shd w:val="clear" w:color="auto" w:fill="DDEFF5"/>
          </w:tcPr>
          <w:p w:rsidR="003C4AD9" w:rsidRDefault="008153F2">
            <w:pPr>
              <w:jc w:val="center"/>
              <w:rPr>
                <w:rFonts w:hint="eastAsia"/>
              </w:rPr>
            </w:pPr>
            <w:r>
              <w:rPr>
                <w:b/>
                <w:color w:val="2E405F"/>
                <w:sz w:val="32"/>
              </w:rPr>
              <w:t>26</w:t>
            </w:r>
            <w:r>
              <w:rPr>
                <w:b/>
                <w:color w:val="2E405F"/>
                <w:sz w:val="32"/>
              </w:rPr>
              <w:br/>
            </w:r>
            <w:r>
              <w:rPr>
                <w:color w:val="666666"/>
                <w:sz w:val="17"/>
              </w:rPr>
              <w:t>Columns / Features</w:t>
            </w:r>
          </w:p>
        </w:tc>
        <w:tc>
          <w:tcPr>
            <w:tcW w:w="2520" w:type="dxa"/>
            <w:shd w:val="clear" w:color="auto" w:fill="DDEFF5"/>
          </w:tcPr>
          <w:p w:rsidR="003C4AD9" w:rsidRDefault="008153F2">
            <w:pPr>
              <w:jc w:val="center"/>
              <w:rPr>
                <w:rFonts w:hint="eastAsia"/>
              </w:rPr>
            </w:pPr>
            <w:r>
              <w:rPr>
                <w:b/>
                <w:color w:val="2E405F"/>
                <w:sz w:val="32"/>
              </w:rPr>
              <w:t>2020–2024</w:t>
            </w:r>
            <w:r>
              <w:rPr>
                <w:b/>
                <w:color w:val="2E405F"/>
                <w:sz w:val="32"/>
              </w:rPr>
              <w:br/>
            </w:r>
            <w:r>
              <w:rPr>
                <w:color w:val="666666"/>
                <w:sz w:val="17"/>
              </w:rPr>
              <w:t>Coverage</w:t>
            </w:r>
          </w:p>
        </w:tc>
        <w:tc>
          <w:tcPr>
            <w:tcW w:w="2520" w:type="dxa"/>
            <w:shd w:val="clear" w:color="auto" w:fill="DDEFF5"/>
          </w:tcPr>
          <w:p w:rsidR="003C4AD9" w:rsidRDefault="008153F2">
            <w:pPr>
              <w:jc w:val="center"/>
              <w:rPr>
                <w:rFonts w:hint="eastAsia"/>
              </w:rPr>
            </w:pPr>
            <w:r>
              <w:rPr>
                <w:b/>
                <w:color w:val="2E405F"/>
                <w:sz w:val="32"/>
              </w:rPr>
              <w:t>198,662</w:t>
            </w:r>
            <w:r>
              <w:rPr>
                <w:b/>
                <w:color w:val="2E405F"/>
                <w:sz w:val="32"/>
              </w:rPr>
              <w:br/>
            </w:r>
            <w:r>
              <w:rPr>
                <w:color w:val="666666"/>
                <w:sz w:val="17"/>
              </w:rPr>
              <w:t>Unique Customers</w:t>
            </w:r>
          </w:p>
        </w:tc>
        <w:tc>
          <w:tcPr>
            <w:tcW w:w="2520" w:type="dxa"/>
            <w:shd w:val="clear" w:color="auto" w:fill="DDEFF5"/>
          </w:tcPr>
          <w:p w:rsidR="003C4AD9" w:rsidRDefault="008153F2">
            <w:pPr>
              <w:jc w:val="center"/>
              <w:rPr>
                <w:rFonts w:hint="eastAsia"/>
              </w:rPr>
            </w:pPr>
            <w:r>
              <w:rPr>
                <w:b/>
                <w:color w:val="2E405F"/>
                <w:sz w:val="32"/>
              </w:rPr>
              <w:t>5.53%</w:t>
            </w:r>
            <w:r>
              <w:rPr>
                <w:b/>
                <w:color w:val="2E405F"/>
                <w:sz w:val="32"/>
              </w:rPr>
              <w:br/>
            </w:r>
            <w:r>
              <w:rPr>
                <w:color w:val="666666"/>
                <w:sz w:val="17"/>
              </w:rPr>
              <w:t>Baseline Fraud Rate</w:t>
            </w:r>
          </w:p>
        </w:tc>
      </w:tr>
    </w:tbl>
    <w:p w:rsidR="003C4AD9" w:rsidRDefault="003C4AD9">
      <w:pPr>
        <w:rPr>
          <w:rFonts w:hint="eastAsia"/>
        </w:rPr>
      </w:pPr>
    </w:p>
    <w:tbl>
      <w:tblPr>
        <w:tblW w:w="0" w:type="auto"/>
        <w:jc w:val="center"/>
        <w:tblLook w:val="04A0" w:firstRow="1" w:lastRow="0" w:firstColumn="1" w:lastColumn="0" w:noHBand="0" w:noVBand="1"/>
      </w:tblPr>
      <w:tblGrid>
        <w:gridCol w:w="4609"/>
        <w:gridCol w:w="4633"/>
      </w:tblGrid>
      <w:tr w:rsidR="003C4AD9">
        <w:trPr>
          <w:jc w:val="center"/>
        </w:trPr>
        <w:tc>
          <w:tcPr>
            <w:tcW w:w="5040" w:type="dxa"/>
            <w:shd w:val="clear" w:color="auto" w:fill="2E405F"/>
            <w:vAlign w:val="center"/>
          </w:tcPr>
          <w:p w:rsidR="003C4AD9" w:rsidRDefault="008153F2">
            <w:pPr>
              <w:rPr>
                <w:rFonts w:hint="eastAsia"/>
              </w:rPr>
            </w:pPr>
            <w:r>
              <w:rPr>
                <w:b/>
                <w:color w:val="FFFFFF"/>
              </w:rPr>
              <w:t>Variable Group</w:t>
            </w:r>
          </w:p>
        </w:tc>
        <w:tc>
          <w:tcPr>
            <w:tcW w:w="5040" w:type="dxa"/>
            <w:shd w:val="clear" w:color="auto" w:fill="2E405F"/>
            <w:vAlign w:val="center"/>
          </w:tcPr>
          <w:p w:rsidR="003C4AD9" w:rsidRDefault="008153F2">
            <w:pPr>
              <w:rPr>
                <w:rFonts w:hint="eastAsia"/>
              </w:rPr>
            </w:pPr>
            <w:r>
              <w:rPr>
                <w:b/>
                <w:color w:val="FFFFFF"/>
              </w:rPr>
              <w:t>Examples</w:t>
            </w:r>
          </w:p>
        </w:tc>
      </w:tr>
      <w:tr w:rsidR="003C4AD9">
        <w:trPr>
          <w:jc w:val="center"/>
        </w:trPr>
        <w:tc>
          <w:tcPr>
            <w:tcW w:w="5040" w:type="dxa"/>
            <w:vAlign w:val="center"/>
          </w:tcPr>
          <w:p w:rsidR="003C4AD9" w:rsidRDefault="008153F2">
            <w:pPr>
              <w:rPr>
                <w:rFonts w:hint="eastAsia"/>
              </w:rPr>
            </w:pPr>
            <w:r>
              <w:rPr>
                <w:b/>
                <w:color w:val="2E405F"/>
              </w:rPr>
              <w:t>Transaction details</w:t>
            </w:r>
          </w:p>
        </w:tc>
        <w:tc>
          <w:tcPr>
            <w:tcW w:w="5040" w:type="dxa"/>
            <w:vAlign w:val="center"/>
          </w:tcPr>
          <w:p w:rsidR="003C4AD9" w:rsidRDefault="008153F2">
            <w:pPr>
              <w:rPr>
                <w:rFonts w:hint="eastAsia"/>
              </w:rPr>
            </w:pPr>
            <w:r>
              <w:t>Date, time, hour, amount, weekend/night flags, transaction frequency</w:t>
            </w:r>
          </w:p>
        </w:tc>
      </w:tr>
      <w:tr w:rsidR="003C4AD9">
        <w:trPr>
          <w:jc w:val="center"/>
        </w:trPr>
        <w:tc>
          <w:tcPr>
            <w:tcW w:w="5040" w:type="dxa"/>
            <w:vAlign w:val="center"/>
          </w:tcPr>
          <w:p w:rsidR="003C4AD9" w:rsidRDefault="008153F2">
            <w:pPr>
              <w:rPr>
                <w:rFonts w:hint="eastAsia"/>
              </w:rPr>
            </w:pPr>
            <w:r>
              <w:rPr>
                <w:b/>
                <w:color w:val="2E405F"/>
              </w:rPr>
              <w:t>Customer information</w:t>
            </w:r>
          </w:p>
        </w:tc>
        <w:tc>
          <w:tcPr>
            <w:tcW w:w="5040" w:type="dxa"/>
            <w:vAlign w:val="center"/>
          </w:tcPr>
          <w:p w:rsidR="003C4AD9" w:rsidRDefault="008153F2">
            <w:pPr>
              <w:rPr>
                <w:rFonts w:hint="eastAsia"/>
              </w:rPr>
            </w:pPr>
            <w:r>
              <w:t>Age, credit score, account age, account balance</w:t>
            </w:r>
          </w:p>
        </w:tc>
      </w:tr>
      <w:tr w:rsidR="003C4AD9">
        <w:trPr>
          <w:jc w:val="center"/>
        </w:trPr>
        <w:tc>
          <w:tcPr>
            <w:tcW w:w="5040" w:type="dxa"/>
            <w:vAlign w:val="center"/>
          </w:tcPr>
          <w:p w:rsidR="003C4AD9" w:rsidRDefault="008153F2">
            <w:pPr>
              <w:rPr>
                <w:rFonts w:hint="eastAsia"/>
              </w:rPr>
            </w:pPr>
            <w:r>
              <w:rPr>
                <w:b/>
                <w:color w:val="2E405F"/>
              </w:rPr>
              <w:t>Fraud attributes</w:t>
            </w:r>
          </w:p>
        </w:tc>
        <w:tc>
          <w:tcPr>
            <w:tcW w:w="5040" w:type="dxa"/>
            <w:vAlign w:val="center"/>
          </w:tcPr>
          <w:p w:rsidR="003C4AD9" w:rsidRDefault="008153F2">
            <w:pPr>
              <w:rPr>
                <w:rFonts w:hint="eastAsia"/>
              </w:rPr>
            </w:pPr>
            <w:r>
              <w:t xml:space="preserve">Fraud flag, fraud type, failed attempts, recent PIN </w:t>
            </w:r>
            <w:r>
              <w:t>change</w:t>
            </w:r>
          </w:p>
        </w:tc>
      </w:tr>
      <w:tr w:rsidR="003C4AD9">
        <w:trPr>
          <w:jc w:val="center"/>
        </w:trPr>
        <w:tc>
          <w:tcPr>
            <w:tcW w:w="5040" w:type="dxa"/>
            <w:vAlign w:val="center"/>
          </w:tcPr>
          <w:p w:rsidR="003C4AD9" w:rsidRDefault="008153F2">
            <w:pPr>
              <w:rPr>
                <w:rFonts w:hint="eastAsia"/>
              </w:rPr>
            </w:pPr>
            <w:r>
              <w:rPr>
                <w:b/>
                <w:color w:val="2E405F"/>
              </w:rPr>
              <w:t>Channel information</w:t>
            </w:r>
          </w:p>
        </w:tc>
        <w:tc>
          <w:tcPr>
            <w:tcW w:w="5040" w:type="dxa"/>
            <w:vAlign w:val="center"/>
          </w:tcPr>
          <w:p w:rsidR="003C4AD9" w:rsidRDefault="008153F2">
            <w:pPr>
              <w:rPr>
                <w:rFonts w:hint="eastAsia"/>
              </w:rPr>
            </w:pPr>
            <w:r>
              <w:t>Payment method and device type</w:t>
            </w:r>
          </w:p>
        </w:tc>
      </w:tr>
      <w:tr w:rsidR="003C4AD9">
        <w:trPr>
          <w:jc w:val="center"/>
        </w:trPr>
        <w:tc>
          <w:tcPr>
            <w:tcW w:w="5040" w:type="dxa"/>
            <w:vAlign w:val="center"/>
          </w:tcPr>
          <w:p w:rsidR="003C4AD9" w:rsidRDefault="008153F2">
            <w:pPr>
              <w:rPr>
                <w:rFonts w:hint="eastAsia"/>
              </w:rPr>
            </w:pPr>
            <w:r>
              <w:rPr>
                <w:b/>
                <w:color w:val="2E405F"/>
              </w:rPr>
              <w:t>Geography</w:t>
            </w:r>
          </w:p>
        </w:tc>
        <w:tc>
          <w:tcPr>
            <w:tcW w:w="5040" w:type="dxa"/>
            <w:vAlign w:val="center"/>
          </w:tcPr>
          <w:p w:rsidR="003C4AD9" w:rsidRDefault="008153F2">
            <w:pPr>
              <w:rPr>
                <w:rFonts w:hint="eastAsia"/>
              </w:rPr>
            </w:pPr>
            <w:r>
              <w:t>Country, city, distance from customer home</w:t>
            </w:r>
          </w:p>
        </w:tc>
      </w:tr>
      <w:tr w:rsidR="003C4AD9">
        <w:trPr>
          <w:jc w:val="center"/>
        </w:trPr>
        <w:tc>
          <w:tcPr>
            <w:tcW w:w="5040" w:type="dxa"/>
            <w:vAlign w:val="center"/>
          </w:tcPr>
          <w:p w:rsidR="003C4AD9" w:rsidRDefault="008153F2">
            <w:pPr>
              <w:rPr>
                <w:rFonts w:hint="eastAsia"/>
              </w:rPr>
            </w:pPr>
            <w:r>
              <w:rPr>
                <w:b/>
                <w:color w:val="2E405F"/>
              </w:rPr>
              <w:lastRenderedPageBreak/>
              <w:t>Transaction origin</w:t>
            </w:r>
          </w:p>
        </w:tc>
        <w:tc>
          <w:tcPr>
            <w:tcW w:w="5040" w:type="dxa"/>
            <w:vAlign w:val="center"/>
          </w:tcPr>
          <w:p w:rsidR="003C4AD9" w:rsidRDefault="008153F2">
            <w:pPr>
              <w:rPr>
                <w:rFonts w:hint="eastAsia"/>
              </w:rPr>
            </w:pPr>
            <w:r>
              <w:t>Domestic versus international status</w:t>
            </w:r>
          </w:p>
        </w:tc>
      </w:tr>
    </w:tbl>
    <w:p w:rsidR="003C4AD9" w:rsidRDefault="003C4AD9">
      <w:pPr>
        <w:rPr>
          <w:rFonts w:hint="eastAsia"/>
        </w:rPr>
      </w:pPr>
    </w:p>
    <w:p w:rsidR="003C4AD9" w:rsidRDefault="008153F2">
      <w:pPr>
        <w:pStyle w:val="Heading1"/>
      </w:pPr>
      <w:r>
        <w:t>1. Overall Fraud Landscape</w:t>
      </w:r>
    </w:p>
    <w:p w:rsidR="003C4AD9" w:rsidRDefault="008153F2">
      <w:pPr>
        <w:jc w:val="center"/>
        <w:rPr>
          <w:rFonts w:hint="eastAsia"/>
        </w:rPr>
      </w:pPr>
      <w:r>
        <w:rPr>
          <w:noProof/>
        </w:rPr>
        <w:drawing>
          <wp:inline distT="0" distB="0" distL="0" distR="0">
            <wp:extent cx="612648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8"/>
                    <a:stretch>
                      <a:fillRect/>
                    </a:stretch>
                  </pic:blipFill>
                  <pic:spPr>
                    <a:xfrm>
                      <a:off x="0" y="0"/>
                      <a:ext cx="6126480" cy="3829050"/>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 xml:space="preserve">Across the full dataset, 55,255 of </w:t>
      </w:r>
      <w:r>
        <w:t>1,000,000 transactions were fraudulent, giving an overall fraud rate of 5.53%. Among 198,662 unique customers, 48,121 were affected by at least one fraudulent transaction.</w:t>
      </w:r>
    </w:p>
    <w:p w:rsidR="003C4AD9" w:rsidRDefault="008153F2">
      <w:pPr>
        <w:rPr>
          <w:rFonts w:hint="eastAsia"/>
        </w:rPr>
      </w:pPr>
      <w:r>
        <w:rPr>
          <w:b/>
          <w:color w:val="3A9BC1"/>
          <w:sz w:val="18"/>
        </w:rPr>
        <w:t>BUSINESS PROBLEM ADDRESSED</w:t>
      </w:r>
    </w:p>
    <w:p w:rsidR="003C4AD9" w:rsidRDefault="008153F2">
      <w:pPr>
        <w:spacing w:after="120"/>
        <w:rPr>
          <w:rFonts w:hint="eastAsia"/>
        </w:rPr>
      </w:pPr>
      <w:r>
        <w:t xml:space="preserve">Management needs a reliable baseline for the scale of </w:t>
      </w:r>
      <w:r>
        <w:t>fraud and the number of customers exposed to fraudulent activity.</w:t>
      </w:r>
    </w:p>
    <w:p w:rsidR="003C4AD9" w:rsidRDefault="008153F2">
      <w:pPr>
        <w:rPr>
          <w:rFonts w:hint="eastAsia"/>
        </w:rPr>
      </w:pPr>
      <w:r>
        <w:rPr>
          <w:b/>
          <w:color w:val="3A9BC1"/>
          <w:sz w:val="18"/>
        </w:rPr>
        <w:t>RECOMMENDATION</w:t>
      </w:r>
    </w:p>
    <w:p w:rsidR="003C4AD9" w:rsidRDefault="008153F2">
      <w:pPr>
        <w:spacing w:after="120"/>
        <w:rPr>
          <w:rFonts w:hint="eastAsia"/>
        </w:rPr>
      </w:pPr>
      <w:r>
        <w:t>Track both transaction-level fraud rate and unique customers affected. Use the 5.53% overall rate as a benchmark when comparing individual segments.</w:t>
      </w:r>
    </w:p>
    <w:p w:rsidR="003C4AD9" w:rsidRDefault="00B50926">
      <w:pPr>
        <w:rPr>
          <w:rFonts w:hint="eastAsia"/>
        </w:rPr>
      </w:pPr>
      <w:r>
        <w:br w:type="page"/>
      </w:r>
    </w:p>
    <w:p w:rsidR="003C4AD9" w:rsidRDefault="008153F2">
      <w:pPr>
        <w:pStyle w:val="Heading1"/>
      </w:pPr>
      <w:r>
        <w:lastRenderedPageBreak/>
        <w:t>2. Year-over-Year Transac</w:t>
      </w:r>
      <w:r>
        <w:t>tion and Fraud Stability</w:t>
      </w:r>
    </w:p>
    <w:p w:rsidR="003C4AD9" w:rsidRDefault="008153F2">
      <w:pPr>
        <w:jc w:val="center"/>
        <w:rPr>
          <w:rFonts w:hint="eastAsia"/>
        </w:rPr>
      </w:pPr>
      <w:r>
        <w:rPr>
          <w:noProof/>
        </w:rPr>
        <w:drawing>
          <wp:inline distT="0" distB="0" distL="0" distR="0">
            <wp:extent cx="6126480" cy="3021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png"/>
                    <pic:cNvPicPr/>
                  </pic:nvPicPr>
                  <pic:blipFill>
                    <a:blip r:embed="rId9"/>
                    <a:stretch>
                      <a:fillRect/>
                    </a:stretch>
                  </pic:blipFill>
                  <pic:spPr>
                    <a:xfrm>
                      <a:off x="0" y="0"/>
                      <a:ext cx="6126480" cy="3021845"/>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Annual transaction volume remained close to 200,000 from 2020 through 2024, while annual fraud rates stayed approximately between 5.49% and 5.58%. Fraud is persistent rather than rapidly escalating.</w:t>
      </w:r>
    </w:p>
    <w:p w:rsidR="003C4AD9" w:rsidRDefault="008153F2">
      <w:pPr>
        <w:rPr>
          <w:rFonts w:hint="eastAsia"/>
        </w:rPr>
      </w:pPr>
      <w:r>
        <w:rPr>
          <w:b/>
          <w:color w:val="3A9BC1"/>
          <w:sz w:val="18"/>
        </w:rPr>
        <w:t>BUSINESS PROBLEM A</w:t>
      </w:r>
      <w:r>
        <w:rPr>
          <w:b/>
          <w:color w:val="3A9BC1"/>
          <w:sz w:val="18"/>
        </w:rPr>
        <w:t>DDRESSED</w:t>
      </w:r>
    </w:p>
    <w:p w:rsidR="003C4AD9" w:rsidRDefault="008153F2">
      <w:pPr>
        <w:spacing w:after="120"/>
        <w:rPr>
          <w:rFonts w:hint="eastAsia"/>
        </w:rPr>
      </w:pPr>
      <w:r>
        <w:t>Management must know whether fraud is accelerating, declining, or remaining structurally persistent.</w:t>
      </w:r>
    </w:p>
    <w:p w:rsidR="003C4AD9" w:rsidRDefault="008153F2">
      <w:pPr>
        <w:rPr>
          <w:rFonts w:hint="eastAsia"/>
        </w:rPr>
      </w:pPr>
      <w:r>
        <w:rPr>
          <w:b/>
          <w:color w:val="3A9BC1"/>
          <w:sz w:val="18"/>
        </w:rPr>
        <w:t>RECOMMENDATION</w:t>
      </w:r>
    </w:p>
    <w:p w:rsidR="003C4AD9" w:rsidRDefault="008153F2">
      <w:pPr>
        <w:spacing w:after="120"/>
        <w:rPr>
          <w:rFonts w:hint="eastAsia"/>
        </w:rPr>
      </w:pPr>
      <w:r>
        <w:t>Treat fraud prevention as an ongoing operational capability. Investigate monthly and segment-level movement rather than assuming st</w:t>
      </w:r>
      <w:r>
        <w:t>able annual averages mean risk is controlled.</w:t>
      </w:r>
    </w:p>
    <w:tbl>
      <w:tblPr>
        <w:tblW w:w="0" w:type="auto"/>
        <w:jc w:val="center"/>
        <w:tblLook w:val="04A0" w:firstRow="1" w:lastRow="0" w:firstColumn="1" w:lastColumn="0" w:noHBand="0" w:noVBand="1"/>
      </w:tblPr>
      <w:tblGrid>
        <w:gridCol w:w="9242"/>
      </w:tblGrid>
      <w:tr w:rsidR="003C4AD9">
        <w:trPr>
          <w:jc w:val="center"/>
        </w:trPr>
        <w:tc>
          <w:tcPr>
            <w:tcW w:w="10080" w:type="dxa"/>
            <w:shd w:val="clear" w:color="auto" w:fill="F4F4F4"/>
            <w:vAlign w:val="center"/>
          </w:tcPr>
          <w:p w:rsidR="003C4AD9" w:rsidRDefault="008153F2">
            <w:pPr>
              <w:rPr>
                <w:rFonts w:hint="eastAsia"/>
              </w:rPr>
            </w:pPr>
            <w:r>
              <w:rPr>
                <w:color w:val="666666"/>
                <w:sz w:val="18"/>
              </w:rPr>
              <w:t>Analytical note: The chart shows transaction volume, not fraud rate. The conclusion on fraud stability comes from the annual fraud-rate calculation.</w:t>
            </w:r>
          </w:p>
        </w:tc>
      </w:tr>
    </w:tbl>
    <w:p w:rsidR="00B50926" w:rsidRDefault="00B50926"/>
    <w:p w:rsidR="003C4AD9" w:rsidRDefault="00B50926">
      <w:pPr>
        <w:rPr>
          <w:rFonts w:hint="eastAsia"/>
        </w:rPr>
      </w:pPr>
      <w:r>
        <w:br w:type="page"/>
      </w:r>
    </w:p>
    <w:p w:rsidR="003C4AD9" w:rsidRDefault="008153F2">
      <w:pPr>
        <w:pStyle w:val="Heading1"/>
      </w:pPr>
      <w:r>
        <w:lastRenderedPageBreak/>
        <w:t>3. 2024 Fraud Overview</w:t>
      </w:r>
    </w:p>
    <w:p w:rsidR="003C4AD9" w:rsidRDefault="008153F2">
      <w:pPr>
        <w:rPr>
          <w:rFonts w:hint="eastAsia"/>
        </w:rPr>
      </w:pPr>
      <w:r>
        <w:rPr>
          <w:b/>
          <w:color w:val="3A9BC1"/>
          <w:sz w:val="18"/>
        </w:rPr>
        <w:t>KEY INSIGHT</w:t>
      </w:r>
    </w:p>
    <w:p w:rsidR="003C4AD9" w:rsidRDefault="008153F2">
      <w:pPr>
        <w:spacing w:after="120"/>
        <w:rPr>
          <w:rFonts w:hint="eastAsia"/>
        </w:rPr>
      </w:pPr>
      <w:r>
        <w:t>In 2024, 10,949 of 199,3</w:t>
      </w:r>
      <w:r>
        <w:t>25 transactions were fraudulent, producing a fraud rate of 5.49%. A total of 10,643 customers were affected by fraud.</w:t>
      </w:r>
    </w:p>
    <w:p w:rsidR="003C4AD9" w:rsidRDefault="008153F2">
      <w:pPr>
        <w:rPr>
          <w:rFonts w:hint="eastAsia"/>
        </w:rPr>
      </w:pPr>
      <w:r>
        <w:rPr>
          <w:b/>
          <w:color w:val="3A9BC1"/>
          <w:sz w:val="18"/>
        </w:rPr>
        <w:t>BUSINESS PROBLEM ADDRESSED</w:t>
      </w:r>
    </w:p>
    <w:p w:rsidR="003C4AD9" w:rsidRDefault="008153F2">
      <w:pPr>
        <w:spacing w:after="120"/>
        <w:rPr>
          <w:rFonts w:hint="eastAsia"/>
        </w:rPr>
      </w:pPr>
      <w:r>
        <w:t>Stakeholders need a current-year baseline before investigating specific risk factors.</w:t>
      </w:r>
    </w:p>
    <w:p w:rsidR="003C4AD9" w:rsidRDefault="008153F2">
      <w:pPr>
        <w:rPr>
          <w:rFonts w:hint="eastAsia"/>
        </w:rPr>
      </w:pPr>
      <w:r>
        <w:rPr>
          <w:b/>
          <w:color w:val="3A9BC1"/>
          <w:sz w:val="18"/>
        </w:rPr>
        <w:t>RECOMMENDATION</w:t>
      </w:r>
    </w:p>
    <w:p w:rsidR="003C4AD9" w:rsidRDefault="008153F2">
      <w:pPr>
        <w:spacing w:after="120"/>
        <w:rPr>
          <w:rFonts w:hint="eastAsia"/>
        </w:rPr>
      </w:pPr>
      <w:r>
        <w:t>Use the 20</w:t>
      </w:r>
      <w:r>
        <w:t>24 fraud rate of 5.49% as the latest-year benchmark and compare segments against it to identify materially elevated risk.</w:t>
      </w:r>
    </w:p>
    <w:p w:rsidR="003C4AD9" w:rsidRDefault="003C4AD9">
      <w:pPr>
        <w:rPr>
          <w:rFonts w:hint="eastAsia"/>
        </w:rPr>
      </w:pPr>
    </w:p>
    <w:tbl>
      <w:tblPr>
        <w:tblW w:w="0" w:type="auto"/>
        <w:jc w:val="center"/>
        <w:tblLook w:val="04A0" w:firstRow="1" w:lastRow="0" w:firstColumn="1" w:lastColumn="0" w:noHBand="0" w:noVBand="1"/>
      </w:tblPr>
      <w:tblGrid>
        <w:gridCol w:w="2338"/>
        <w:gridCol w:w="2305"/>
        <w:gridCol w:w="2294"/>
        <w:gridCol w:w="2305"/>
      </w:tblGrid>
      <w:tr w:rsidR="003C4AD9">
        <w:trPr>
          <w:jc w:val="center"/>
        </w:trPr>
        <w:tc>
          <w:tcPr>
            <w:tcW w:w="2520" w:type="dxa"/>
            <w:shd w:val="clear" w:color="auto" w:fill="DDEFF5"/>
          </w:tcPr>
          <w:p w:rsidR="003C4AD9" w:rsidRDefault="008153F2">
            <w:pPr>
              <w:jc w:val="center"/>
              <w:rPr>
                <w:rFonts w:hint="eastAsia"/>
              </w:rPr>
            </w:pPr>
            <w:r>
              <w:rPr>
                <w:b/>
                <w:color w:val="2E405F"/>
                <w:sz w:val="32"/>
              </w:rPr>
              <w:t>199,325</w:t>
            </w:r>
            <w:r>
              <w:rPr>
                <w:b/>
                <w:color w:val="2E405F"/>
                <w:sz w:val="32"/>
              </w:rPr>
              <w:br/>
            </w:r>
            <w:r>
              <w:rPr>
                <w:color w:val="666666"/>
                <w:sz w:val="17"/>
              </w:rPr>
              <w:t>Transactions</w:t>
            </w:r>
          </w:p>
        </w:tc>
        <w:tc>
          <w:tcPr>
            <w:tcW w:w="2520" w:type="dxa"/>
            <w:shd w:val="clear" w:color="auto" w:fill="DDEFF5"/>
          </w:tcPr>
          <w:p w:rsidR="003C4AD9" w:rsidRDefault="008153F2">
            <w:pPr>
              <w:jc w:val="center"/>
              <w:rPr>
                <w:rFonts w:hint="eastAsia"/>
              </w:rPr>
            </w:pPr>
            <w:r>
              <w:rPr>
                <w:b/>
                <w:color w:val="2E405F"/>
                <w:sz w:val="32"/>
              </w:rPr>
              <w:t>10,949</w:t>
            </w:r>
            <w:r>
              <w:rPr>
                <w:b/>
                <w:color w:val="2E405F"/>
                <w:sz w:val="32"/>
              </w:rPr>
              <w:br/>
            </w:r>
            <w:r>
              <w:rPr>
                <w:color w:val="666666"/>
                <w:sz w:val="17"/>
              </w:rPr>
              <w:t>Fraud Transactions</w:t>
            </w:r>
          </w:p>
        </w:tc>
        <w:tc>
          <w:tcPr>
            <w:tcW w:w="2520" w:type="dxa"/>
            <w:shd w:val="clear" w:color="auto" w:fill="DDEFF5"/>
          </w:tcPr>
          <w:p w:rsidR="003C4AD9" w:rsidRDefault="008153F2">
            <w:pPr>
              <w:jc w:val="center"/>
              <w:rPr>
                <w:rFonts w:hint="eastAsia"/>
              </w:rPr>
            </w:pPr>
            <w:r>
              <w:rPr>
                <w:b/>
                <w:color w:val="2E405F"/>
                <w:sz w:val="32"/>
              </w:rPr>
              <w:t>5.49%</w:t>
            </w:r>
            <w:r>
              <w:rPr>
                <w:b/>
                <w:color w:val="2E405F"/>
                <w:sz w:val="32"/>
              </w:rPr>
              <w:br/>
            </w:r>
            <w:r>
              <w:rPr>
                <w:color w:val="666666"/>
                <w:sz w:val="17"/>
              </w:rPr>
              <w:t>Fraud Rate</w:t>
            </w:r>
          </w:p>
        </w:tc>
        <w:tc>
          <w:tcPr>
            <w:tcW w:w="2520" w:type="dxa"/>
            <w:shd w:val="clear" w:color="auto" w:fill="DDEFF5"/>
          </w:tcPr>
          <w:p w:rsidR="003C4AD9" w:rsidRDefault="008153F2">
            <w:pPr>
              <w:jc w:val="center"/>
              <w:rPr>
                <w:rFonts w:hint="eastAsia"/>
              </w:rPr>
            </w:pPr>
            <w:r>
              <w:rPr>
                <w:b/>
                <w:color w:val="2E405F"/>
                <w:sz w:val="32"/>
              </w:rPr>
              <w:t>10,643</w:t>
            </w:r>
            <w:r>
              <w:rPr>
                <w:b/>
                <w:color w:val="2E405F"/>
                <w:sz w:val="32"/>
              </w:rPr>
              <w:br/>
            </w:r>
            <w:r>
              <w:rPr>
                <w:color w:val="666666"/>
                <w:sz w:val="17"/>
              </w:rPr>
              <w:t>Affected Customers</w:t>
            </w:r>
          </w:p>
        </w:tc>
      </w:tr>
    </w:tbl>
    <w:p w:rsidR="003C4AD9" w:rsidRDefault="003C4AD9">
      <w:pPr>
        <w:rPr>
          <w:rFonts w:hint="eastAsia"/>
        </w:rPr>
      </w:pPr>
    </w:p>
    <w:p w:rsidR="003C4AD9" w:rsidRDefault="008153F2">
      <w:pPr>
        <w:pStyle w:val="Heading1"/>
      </w:pPr>
      <w:r>
        <w:t>4. Country-Level Fraud Concentration</w:t>
      </w:r>
    </w:p>
    <w:p w:rsidR="003C4AD9" w:rsidRDefault="008153F2">
      <w:pPr>
        <w:jc w:val="center"/>
        <w:rPr>
          <w:rFonts w:hint="eastAsia"/>
        </w:rPr>
      </w:pPr>
      <w:r>
        <w:rPr>
          <w:noProof/>
        </w:rPr>
        <w:drawing>
          <wp:inline distT="0" distB="0" distL="0" distR="0">
            <wp:extent cx="6126480" cy="3021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png"/>
                    <pic:cNvPicPr/>
                  </pic:nvPicPr>
                  <pic:blipFill>
                    <a:blip r:embed="rId10"/>
                    <a:stretch>
                      <a:fillRect/>
                    </a:stretch>
                  </pic:blipFill>
                  <pic:spPr>
                    <a:xfrm>
                      <a:off x="0" y="0"/>
                      <a:ext cx="6126480" cy="3021845"/>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The USA recorded 3,315 fraudulent transactions in 2024, followed by India with 1,303 and the UK with 1,101. However, country-level fraud rates were relatively close, generally around 5.1%–5.7%.</w:t>
      </w:r>
    </w:p>
    <w:p w:rsidR="003C4AD9" w:rsidRDefault="008153F2">
      <w:pPr>
        <w:rPr>
          <w:rFonts w:hint="eastAsia"/>
        </w:rPr>
      </w:pPr>
      <w:r>
        <w:rPr>
          <w:b/>
          <w:color w:val="3A9BC1"/>
          <w:sz w:val="18"/>
        </w:rPr>
        <w:t>BUSINESS PROBLEM ADDRESSED</w:t>
      </w:r>
    </w:p>
    <w:p w:rsidR="003C4AD9" w:rsidRDefault="008153F2">
      <w:pPr>
        <w:spacing w:after="120"/>
        <w:rPr>
          <w:rFonts w:hint="eastAsia"/>
        </w:rPr>
      </w:pPr>
      <w:r>
        <w:t>Large markets can gener</w:t>
      </w:r>
      <w:r>
        <w:t>ate high fraud counts simply because they process more transactions.</w:t>
      </w:r>
    </w:p>
    <w:p w:rsidR="003C4AD9" w:rsidRDefault="008153F2">
      <w:pPr>
        <w:rPr>
          <w:rFonts w:hint="eastAsia"/>
        </w:rPr>
      </w:pPr>
      <w:r>
        <w:rPr>
          <w:b/>
          <w:color w:val="3A9BC1"/>
          <w:sz w:val="18"/>
        </w:rPr>
        <w:t>RECOMMENDATION</w:t>
      </w:r>
    </w:p>
    <w:p w:rsidR="003C4AD9" w:rsidRDefault="008153F2" w:rsidP="00B50926">
      <w:pPr>
        <w:spacing w:after="120"/>
        <w:rPr>
          <w:rFonts w:hint="eastAsia"/>
        </w:rPr>
      </w:pPr>
      <w:r>
        <w:t>Use fraud count for workload planning and fraud rate for relative-risk assessment. Do not classify the USA as the highest-risk market solely from case volume.</w:t>
      </w:r>
    </w:p>
    <w:p w:rsidR="003C4AD9" w:rsidRDefault="008153F2">
      <w:pPr>
        <w:pStyle w:val="Heading1"/>
      </w:pPr>
      <w:r>
        <w:lastRenderedPageBreak/>
        <w:t>5. Payment M</w:t>
      </w:r>
      <w:r>
        <w:t>ethod Analysis</w:t>
      </w:r>
    </w:p>
    <w:p w:rsidR="003C4AD9" w:rsidRDefault="008153F2">
      <w:pPr>
        <w:jc w:val="center"/>
        <w:rPr>
          <w:rFonts w:hint="eastAsia"/>
        </w:rPr>
      </w:pPr>
      <w:r>
        <w:rPr>
          <w:noProof/>
        </w:rPr>
        <w:drawing>
          <wp:inline distT="0" distB="0" distL="0" distR="0">
            <wp:extent cx="6126480" cy="4324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png"/>
                    <pic:cNvPicPr/>
                  </pic:nvPicPr>
                  <pic:blipFill>
                    <a:blip r:embed="rId11"/>
                    <a:stretch>
                      <a:fillRect/>
                    </a:stretch>
                  </pic:blipFill>
                  <pic:spPr>
                    <a:xfrm>
                      <a:off x="0" y="0"/>
                      <a:ext cx="6126480" cy="4324574"/>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Credit Cards contributed 35.6% of 2024 fraud cases and Debit Cards 29.4%. However, Cheque transactions had the highest observed fraud rate at 6.22%, while most other payment methods were around 5.4%–5.6%.</w:t>
      </w:r>
    </w:p>
    <w:p w:rsidR="003C4AD9" w:rsidRDefault="008153F2">
      <w:pPr>
        <w:rPr>
          <w:rFonts w:hint="eastAsia"/>
        </w:rPr>
      </w:pPr>
      <w:r>
        <w:rPr>
          <w:b/>
          <w:color w:val="3A9BC1"/>
          <w:sz w:val="18"/>
        </w:rPr>
        <w:t xml:space="preserve">BUSINESS PROBLEM </w:t>
      </w:r>
      <w:r>
        <w:rPr>
          <w:b/>
          <w:color w:val="3A9BC1"/>
          <w:sz w:val="18"/>
        </w:rPr>
        <w:t>ADDRESSED</w:t>
      </w:r>
    </w:p>
    <w:p w:rsidR="003C4AD9" w:rsidRDefault="008153F2">
      <w:pPr>
        <w:spacing w:after="120"/>
        <w:rPr>
          <w:rFonts w:hint="eastAsia"/>
        </w:rPr>
      </w:pPr>
      <w:r>
        <w:t>High case volume and high probability of fraud are different business problems.</w:t>
      </w:r>
    </w:p>
    <w:p w:rsidR="003C4AD9" w:rsidRDefault="008153F2">
      <w:pPr>
        <w:rPr>
          <w:rFonts w:hint="eastAsia"/>
        </w:rPr>
      </w:pPr>
      <w:r>
        <w:rPr>
          <w:b/>
          <w:color w:val="3A9BC1"/>
          <w:sz w:val="18"/>
        </w:rPr>
        <w:t>RECOMMENDATION</w:t>
      </w:r>
    </w:p>
    <w:p w:rsidR="00B50926" w:rsidRDefault="008153F2">
      <w:pPr>
        <w:spacing w:after="120"/>
      </w:pPr>
      <w:r>
        <w:t>Use contribution share to allocate investigation capacity, but use fraud rate to assess channel risk. Give targeted attention to Cheque transactions wh</w:t>
      </w:r>
      <w:r>
        <w:t>ile maintaining strong operational monitoring for high-volume card channels.</w:t>
      </w:r>
    </w:p>
    <w:p w:rsidR="003C4AD9" w:rsidRDefault="00B50926">
      <w:pPr>
        <w:rPr>
          <w:rFonts w:hint="eastAsia"/>
        </w:rPr>
      </w:pPr>
      <w:r>
        <w:br w:type="page"/>
      </w:r>
    </w:p>
    <w:p w:rsidR="003C4AD9" w:rsidRDefault="008153F2">
      <w:pPr>
        <w:pStyle w:val="Heading1"/>
      </w:pPr>
      <w:r>
        <w:lastRenderedPageBreak/>
        <w:t>6. Device-Level Fraud Distribution</w:t>
      </w:r>
    </w:p>
    <w:p w:rsidR="003C4AD9" w:rsidRDefault="008153F2">
      <w:pPr>
        <w:jc w:val="center"/>
        <w:rPr>
          <w:rFonts w:hint="eastAsia"/>
        </w:rPr>
      </w:pPr>
      <w:r>
        <w:rPr>
          <w:noProof/>
        </w:rPr>
        <w:drawing>
          <wp:inline distT="0" distB="0" distL="0" distR="0">
            <wp:extent cx="6126480" cy="3964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png"/>
                    <pic:cNvPicPr/>
                  </pic:nvPicPr>
                  <pic:blipFill>
                    <a:blip r:embed="rId12"/>
                    <a:stretch>
                      <a:fillRect/>
                    </a:stretch>
                  </pic:blipFill>
                  <pic:spPr>
                    <a:xfrm>
                      <a:off x="0" y="0"/>
                      <a:ext cx="6126480" cy="3964193"/>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Mobile devices generated 4,940 fraud cases, or 45.1% of all 2024 fraud, followed by Desktop at 24.6%. Device fraud rates were nev</w:t>
      </w:r>
      <w:r>
        <w:t>ertheless similar, approximately 5.34%–5.62%.</w:t>
      </w:r>
    </w:p>
    <w:p w:rsidR="003C4AD9" w:rsidRDefault="008153F2">
      <w:pPr>
        <w:rPr>
          <w:rFonts w:hint="eastAsia"/>
        </w:rPr>
      </w:pPr>
      <w:r>
        <w:rPr>
          <w:b/>
          <w:color w:val="3A9BC1"/>
          <w:sz w:val="18"/>
        </w:rPr>
        <w:t>BUSINESS PROBLEM ADDRESSED</w:t>
      </w:r>
    </w:p>
    <w:p w:rsidR="003C4AD9" w:rsidRDefault="008153F2">
      <w:pPr>
        <w:spacing w:after="120"/>
        <w:rPr>
          <w:rFonts w:hint="eastAsia"/>
        </w:rPr>
      </w:pPr>
      <w:r>
        <w:t>High usage can make a device appear risky when the underlying fraud probability is not materially higher.</w:t>
      </w:r>
    </w:p>
    <w:p w:rsidR="003C4AD9" w:rsidRDefault="008153F2">
      <w:pPr>
        <w:rPr>
          <w:rFonts w:hint="eastAsia"/>
        </w:rPr>
      </w:pPr>
      <w:r>
        <w:rPr>
          <w:b/>
          <w:color w:val="3A9BC1"/>
          <w:sz w:val="18"/>
        </w:rPr>
        <w:t>RECOMMENDATION</w:t>
      </w:r>
    </w:p>
    <w:p w:rsidR="00B50926" w:rsidRDefault="008153F2">
      <w:pPr>
        <w:spacing w:after="120"/>
      </w:pPr>
      <w:r>
        <w:t>Prioritize Mobile for investigation capacity because of case v</w:t>
      </w:r>
      <w:r>
        <w:t>olume, but combine device type with behavioral indicators before applying stronger controls.</w:t>
      </w:r>
    </w:p>
    <w:p w:rsidR="003C4AD9" w:rsidRDefault="00B50926">
      <w:pPr>
        <w:rPr>
          <w:rFonts w:hint="eastAsia"/>
        </w:rPr>
      </w:pPr>
      <w:r>
        <w:br w:type="page"/>
      </w:r>
    </w:p>
    <w:p w:rsidR="003C4AD9" w:rsidRDefault="008153F2">
      <w:pPr>
        <w:pStyle w:val="Heading1"/>
      </w:pPr>
      <w:r>
        <w:lastRenderedPageBreak/>
        <w:t>7. Fraud Timing Patterns</w:t>
      </w:r>
    </w:p>
    <w:p w:rsidR="003C4AD9" w:rsidRDefault="008153F2">
      <w:pPr>
        <w:jc w:val="center"/>
        <w:rPr>
          <w:rFonts w:hint="eastAsia"/>
        </w:rPr>
      </w:pPr>
      <w:r>
        <w:rPr>
          <w:noProof/>
        </w:rPr>
        <w:drawing>
          <wp:inline distT="0" distB="0" distL="0" distR="0">
            <wp:extent cx="6126480" cy="24760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png"/>
                    <pic:cNvPicPr/>
                  </pic:nvPicPr>
                  <pic:blipFill>
                    <a:blip r:embed="rId13"/>
                    <a:stretch>
                      <a:fillRect/>
                    </a:stretch>
                  </pic:blipFill>
                  <pic:spPr>
                    <a:xfrm>
                      <a:off x="0" y="0"/>
                      <a:ext cx="6126480" cy="2476031"/>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Late-night and early-morning periods, roughly 22:00–06:00, frequently show higher fraud counts across several days of the w</w:t>
      </w:r>
      <w:r>
        <w:t>eek.</w:t>
      </w:r>
    </w:p>
    <w:p w:rsidR="003C4AD9" w:rsidRDefault="008153F2">
      <w:pPr>
        <w:rPr>
          <w:rFonts w:hint="eastAsia"/>
        </w:rPr>
      </w:pPr>
      <w:r>
        <w:rPr>
          <w:b/>
          <w:color w:val="3A9BC1"/>
          <w:sz w:val="18"/>
        </w:rPr>
        <w:t>BUSINESS PROBLEM ADDRESSED</w:t>
      </w:r>
    </w:p>
    <w:p w:rsidR="003C4AD9" w:rsidRDefault="008153F2">
      <w:pPr>
        <w:spacing w:after="120"/>
        <w:rPr>
          <w:rFonts w:hint="eastAsia"/>
        </w:rPr>
      </w:pPr>
      <w:r>
        <w:t>Uniform monitoring sensitivity may miss recurring time-based concentrations of suspicious activity.</w:t>
      </w:r>
    </w:p>
    <w:p w:rsidR="003C4AD9" w:rsidRDefault="008153F2">
      <w:pPr>
        <w:rPr>
          <w:rFonts w:hint="eastAsia"/>
        </w:rPr>
      </w:pPr>
      <w:r>
        <w:rPr>
          <w:b/>
          <w:color w:val="3A9BC1"/>
          <w:sz w:val="18"/>
        </w:rPr>
        <w:t>RECOMMENDATION</w:t>
      </w:r>
    </w:p>
    <w:p w:rsidR="003C4AD9" w:rsidRDefault="008153F2">
      <w:pPr>
        <w:spacing w:after="120"/>
        <w:rPr>
          <w:rFonts w:hint="eastAsia"/>
        </w:rPr>
      </w:pPr>
      <w:r>
        <w:t>Consider enhanced overnight monitoring, but validate the pattern using fraud rates by hour before implementin</w:t>
      </w:r>
      <w:r>
        <w:t>g strict time-based rules.</w:t>
      </w:r>
    </w:p>
    <w:tbl>
      <w:tblPr>
        <w:tblW w:w="0" w:type="auto"/>
        <w:jc w:val="center"/>
        <w:tblLook w:val="04A0" w:firstRow="1" w:lastRow="0" w:firstColumn="1" w:lastColumn="0" w:noHBand="0" w:noVBand="1"/>
      </w:tblPr>
      <w:tblGrid>
        <w:gridCol w:w="9242"/>
      </w:tblGrid>
      <w:tr w:rsidR="003C4AD9">
        <w:trPr>
          <w:jc w:val="center"/>
        </w:trPr>
        <w:tc>
          <w:tcPr>
            <w:tcW w:w="10080" w:type="dxa"/>
            <w:shd w:val="clear" w:color="auto" w:fill="F4F4F4"/>
            <w:vAlign w:val="center"/>
          </w:tcPr>
          <w:p w:rsidR="003C4AD9" w:rsidRDefault="008153F2">
            <w:pPr>
              <w:rPr>
                <w:rFonts w:hint="eastAsia"/>
              </w:rPr>
            </w:pPr>
            <w:r>
              <w:rPr>
                <w:color w:val="666666"/>
                <w:sz w:val="18"/>
              </w:rPr>
              <w:t>Analytical note: The heatmap displays fraud counts. Higher counts can partly reflect transaction volume, so hourly fraud rates should be calculated before concluding that a time window is inherently riskier.</w:t>
            </w:r>
          </w:p>
        </w:tc>
      </w:tr>
    </w:tbl>
    <w:p w:rsidR="00B50926" w:rsidRDefault="00B50926"/>
    <w:p w:rsidR="003C4AD9" w:rsidRDefault="00B50926">
      <w:pPr>
        <w:rPr>
          <w:rFonts w:hint="eastAsia"/>
        </w:rPr>
      </w:pPr>
      <w:r>
        <w:br w:type="page"/>
      </w:r>
    </w:p>
    <w:p w:rsidR="003C4AD9" w:rsidRDefault="008153F2">
      <w:pPr>
        <w:pStyle w:val="Heading1"/>
      </w:pPr>
      <w:r>
        <w:lastRenderedPageBreak/>
        <w:t xml:space="preserve">8. Customer Age </w:t>
      </w:r>
      <w:r>
        <w:t>Distribution</w:t>
      </w:r>
    </w:p>
    <w:p w:rsidR="003C4AD9" w:rsidRDefault="008153F2">
      <w:pPr>
        <w:jc w:val="center"/>
        <w:rPr>
          <w:rFonts w:hint="eastAsia"/>
        </w:rPr>
      </w:pPr>
      <w:r>
        <w:rPr>
          <w:noProof/>
        </w:rPr>
        <w:drawing>
          <wp:inline distT="0" distB="0" distL="0" distR="0">
            <wp:extent cx="6126480" cy="36758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png"/>
                    <pic:cNvPicPr/>
                  </pic:nvPicPr>
                  <pic:blipFill>
                    <a:blip r:embed="rId14"/>
                    <a:stretch>
                      <a:fillRect/>
                    </a:stretch>
                  </pic:blipFill>
                  <pic:spPr>
                    <a:xfrm>
                      <a:off x="0" y="0"/>
                      <a:ext cx="6126480" cy="3675888"/>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The 35–44 age group recorded the largest fraud count in 2024 with 2,962 cases, followed by 45–54 with 2,583 and 25–34 with 2,212.</w:t>
      </w:r>
    </w:p>
    <w:p w:rsidR="003C4AD9" w:rsidRDefault="008153F2">
      <w:pPr>
        <w:rPr>
          <w:rFonts w:hint="eastAsia"/>
        </w:rPr>
      </w:pPr>
      <w:r>
        <w:rPr>
          <w:b/>
          <w:color w:val="3A9BC1"/>
          <w:sz w:val="18"/>
        </w:rPr>
        <w:t>BUSINESS PROBLEM ADDRESSED</w:t>
      </w:r>
    </w:p>
    <w:p w:rsidR="003C4AD9" w:rsidRDefault="008153F2">
      <w:pPr>
        <w:spacing w:after="120"/>
        <w:rPr>
          <w:rFonts w:hint="eastAsia"/>
        </w:rPr>
      </w:pPr>
      <w:r>
        <w:t>Fraud teams need to know which customer groups account for the largest i</w:t>
      </w:r>
      <w:r>
        <w:t>nvestigation workload.</w:t>
      </w:r>
    </w:p>
    <w:p w:rsidR="003C4AD9" w:rsidRDefault="008153F2">
      <w:pPr>
        <w:rPr>
          <w:rFonts w:hint="eastAsia"/>
        </w:rPr>
      </w:pPr>
      <w:r>
        <w:rPr>
          <w:b/>
          <w:color w:val="3A9BC1"/>
          <w:sz w:val="18"/>
        </w:rPr>
        <w:t>RECOMMENDATION</w:t>
      </w:r>
    </w:p>
    <w:p w:rsidR="00B50926" w:rsidRDefault="008153F2">
      <w:pPr>
        <w:spacing w:after="120"/>
      </w:pPr>
      <w:r>
        <w:t>Use the distribution for investigation prioritization, not as proof of vulnerability. Calculate fraud rate within each age group before introducing age-targeted controls.</w:t>
      </w:r>
    </w:p>
    <w:p w:rsidR="003C4AD9" w:rsidRDefault="00B50926">
      <w:pPr>
        <w:rPr>
          <w:rFonts w:hint="eastAsia"/>
        </w:rPr>
      </w:pPr>
      <w:r>
        <w:br w:type="page"/>
      </w:r>
    </w:p>
    <w:p w:rsidR="003C4AD9" w:rsidRDefault="008153F2">
      <w:pPr>
        <w:pStyle w:val="Heading1"/>
      </w:pPr>
      <w:r>
        <w:lastRenderedPageBreak/>
        <w:t>9. Merchant Category Risk</w:t>
      </w:r>
    </w:p>
    <w:p w:rsidR="003C4AD9" w:rsidRDefault="008153F2">
      <w:pPr>
        <w:jc w:val="center"/>
        <w:rPr>
          <w:rFonts w:hint="eastAsia"/>
        </w:rPr>
      </w:pPr>
      <w:r>
        <w:rPr>
          <w:noProof/>
        </w:rPr>
        <w:drawing>
          <wp:inline distT="0" distB="0" distL="0" distR="0">
            <wp:extent cx="6126480" cy="35392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ng"/>
                    <pic:cNvPicPr/>
                  </pic:nvPicPr>
                  <pic:blipFill>
                    <a:blip r:embed="rId15"/>
                    <a:stretch>
                      <a:fillRect/>
                    </a:stretch>
                  </pic:blipFill>
                  <pic:spPr>
                    <a:xfrm>
                      <a:off x="0" y="0"/>
                      <a:ext cx="6126480" cy="3539284"/>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Jewelry had the highest observed merchant-category fraud rate at 8.86%, followed by ATM Withdrawal at 8.79% and Crypto Exchange at 8.71%. These were materially above Electronics (5.04%), Fuel (4.96%), and Healthcare (4.95%).</w:t>
      </w:r>
    </w:p>
    <w:p w:rsidR="003C4AD9" w:rsidRDefault="008153F2">
      <w:pPr>
        <w:rPr>
          <w:rFonts w:hint="eastAsia"/>
        </w:rPr>
      </w:pPr>
      <w:r>
        <w:rPr>
          <w:b/>
          <w:color w:val="3A9BC1"/>
          <w:sz w:val="18"/>
        </w:rPr>
        <w:t>BUSINESS PROBLEM ADDRESSED</w:t>
      </w:r>
    </w:p>
    <w:p w:rsidR="003C4AD9" w:rsidRDefault="008153F2">
      <w:pPr>
        <w:spacing w:after="120"/>
        <w:rPr>
          <w:rFonts w:hint="eastAsia"/>
        </w:rPr>
      </w:pPr>
      <w:r>
        <w:t>Unif</w:t>
      </w:r>
      <w:r>
        <w:t>orm transaction controls can under-protect categories where fraud occurs at a substantially higher rate.</w:t>
      </w:r>
    </w:p>
    <w:p w:rsidR="003C4AD9" w:rsidRDefault="008153F2">
      <w:pPr>
        <w:rPr>
          <w:rFonts w:hint="eastAsia"/>
        </w:rPr>
      </w:pPr>
      <w:r>
        <w:rPr>
          <w:b/>
          <w:color w:val="3A9BC1"/>
          <w:sz w:val="18"/>
        </w:rPr>
        <w:t>RECOMMENDATION</w:t>
      </w:r>
    </w:p>
    <w:p w:rsidR="00B50926" w:rsidRDefault="008153F2" w:rsidP="00B50926">
      <w:pPr>
        <w:spacing w:after="120"/>
      </w:pPr>
      <w:r>
        <w:t>Apply enhanced risk-based monitoring to Jewelry, ATM Withdrawal, and Crypto Exchange transactions, including additional verification, ve</w:t>
      </w:r>
      <w:r>
        <w:t>locity checks, and context-aware limits where appropriate.</w:t>
      </w:r>
    </w:p>
    <w:p w:rsidR="003C4AD9" w:rsidRDefault="00B50926" w:rsidP="00B50926">
      <w:pPr>
        <w:rPr>
          <w:rFonts w:hint="eastAsia"/>
        </w:rPr>
      </w:pPr>
      <w:r>
        <w:br w:type="page"/>
      </w:r>
    </w:p>
    <w:p w:rsidR="003C4AD9" w:rsidRDefault="008153F2">
      <w:pPr>
        <w:pStyle w:val="Heading1"/>
      </w:pPr>
      <w:r>
        <w:lastRenderedPageBreak/>
        <w:t>10. Failed Attempts as a Strong Fraud Indicator</w:t>
      </w:r>
    </w:p>
    <w:p w:rsidR="003C4AD9" w:rsidRDefault="008153F2">
      <w:pPr>
        <w:jc w:val="center"/>
        <w:rPr>
          <w:rFonts w:hint="eastAsia"/>
        </w:rPr>
      </w:pPr>
      <w:r>
        <w:rPr>
          <w:noProof/>
        </w:rPr>
        <w:drawing>
          <wp:inline distT="0" distB="0" distL="0" distR="0">
            <wp:extent cx="6126480" cy="33006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png"/>
                    <pic:cNvPicPr/>
                  </pic:nvPicPr>
                  <pic:blipFill>
                    <a:blip r:embed="rId16"/>
                    <a:stretch>
                      <a:fillRect/>
                    </a:stretch>
                  </pic:blipFill>
                  <pic:spPr>
                    <a:xfrm>
                      <a:off x="0" y="0"/>
                      <a:ext cx="6126480" cy="3300613"/>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 xml:space="preserve">Fraud rate was 4.51% for zero or one failed attempt, jumped to 14.88% at two attempts, and remained around 13.66%–14.35% for three to </w:t>
      </w:r>
      <w:r>
        <w:t>five attempts.</w:t>
      </w:r>
    </w:p>
    <w:p w:rsidR="003C4AD9" w:rsidRDefault="008153F2">
      <w:pPr>
        <w:rPr>
          <w:rFonts w:hint="eastAsia"/>
        </w:rPr>
      </w:pPr>
      <w:r>
        <w:rPr>
          <w:b/>
          <w:color w:val="3A9BC1"/>
          <w:sz w:val="18"/>
        </w:rPr>
        <w:t>BUSINESS PROBLEM ADDRESSED</w:t>
      </w:r>
    </w:p>
    <w:p w:rsidR="003C4AD9" w:rsidRDefault="008153F2">
      <w:pPr>
        <w:spacing w:after="120"/>
        <w:rPr>
          <w:rFonts w:hint="eastAsia"/>
        </w:rPr>
      </w:pPr>
      <w:r>
        <w:t>Repeated failed attempts may indicate credential compromise, unauthorized access, or suspicious authentication behavior.</w:t>
      </w:r>
    </w:p>
    <w:p w:rsidR="003C4AD9" w:rsidRDefault="008153F2">
      <w:pPr>
        <w:rPr>
          <w:rFonts w:hint="eastAsia"/>
        </w:rPr>
      </w:pPr>
      <w:r>
        <w:rPr>
          <w:b/>
          <w:color w:val="3A9BC1"/>
          <w:sz w:val="18"/>
        </w:rPr>
        <w:t>RECOMMENDATION</w:t>
      </w:r>
    </w:p>
    <w:p w:rsidR="003C4AD9" w:rsidRDefault="008153F2">
      <w:pPr>
        <w:spacing w:after="120"/>
        <w:rPr>
          <w:rFonts w:hint="eastAsia"/>
        </w:rPr>
      </w:pPr>
      <w:r>
        <w:t>Treat two or more failed attempts as a high-priority signal for additional ver</w:t>
      </w:r>
      <w:r>
        <w:t>ification or enhanced monitoring. Validate the threshold operationally before production deployment.</w:t>
      </w:r>
    </w:p>
    <w:tbl>
      <w:tblPr>
        <w:tblW w:w="0" w:type="auto"/>
        <w:jc w:val="center"/>
        <w:tblLook w:val="04A0" w:firstRow="1" w:lastRow="0" w:firstColumn="1" w:lastColumn="0" w:noHBand="0" w:noVBand="1"/>
      </w:tblPr>
      <w:tblGrid>
        <w:gridCol w:w="9242"/>
      </w:tblGrid>
      <w:tr w:rsidR="003C4AD9">
        <w:trPr>
          <w:jc w:val="center"/>
        </w:trPr>
        <w:tc>
          <w:tcPr>
            <w:tcW w:w="10080" w:type="dxa"/>
            <w:shd w:val="clear" w:color="auto" w:fill="F4F4F4"/>
            <w:vAlign w:val="center"/>
          </w:tcPr>
          <w:p w:rsidR="003C4AD9" w:rsidRDefault="008153F2">
            <w:pPr>
              <w:rPr>
                <w:rFonts w:hint="eastAsia"/>
              </w:rPr>
            </w:pPr>
            <w:r>
              <w:rPr>
                <w:color w:val="666666"/>
                <w:sz w:val="18"/>
              </w:rPr>
              <w:t>Analytical note: This is a strong association, not proof that failed attempts cause fraud.</w:t>
            </w:r>
          </w:p>
        </w:tc>
      </w:tr>
    </w:tbl>
    <w:p w:rsidR="00B50926" w:rsidRDefault="00B50926"/>
    <w:p w:rsidR="003C4AD9" w:rsidRDefault="00B50926">
      <w:pPr>
        <w:rPr>
          <w:rFonts w:hint="eastAsia"/>
        </w:rPr>
      </w:pPr>
      <w:r>
        <w:br w:type="page"/>
      </w:r>
    </w:p>
    <w:p w:rsidR="003C4AD9" w:rsidRDefault="008153F2">
      <w:pPr>
        <w:pStyle w:val="Heading1"/>
      </w:pPr>
      <w:r>
        <w:lastRenderedPageBreak/>
        <w:t>11. International vs Domestic Transaction Risk</w:t>
      </w:r>
    </w:p>
    <w:p w:rsidR="003C4AD9" w:rsidRDefault="008153F2">
      <w:pPr>
        <w:jc w:val="center"/>
        <w:rPr>
          <w:rFonts w:hint="eastAsia"/>
        </w:rPr>
      </w:pPr>
      <w:r>
        <w:rPr>
          <w:noProof/>
        </w:rPr>
        <w:drawing>
          <wp:inline distT="0" distB="0" distL="0" distR="0">
            <wp:extent cx="6126480" cy="40473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png"/>
                    <pic:cNvPicPr/>
                  </pic:nvPicPr>
                  <pic:blipFill>
                    <a:blip r:embed="rId17"/>
                    <a:stretch>
                      <a:fillRect/>
                    </a:stretch>
                  </pic:blipFill>
                  <pic:spPr>
                    <a:xfrm>
                      <a:off x="0" y="0"/>
                      <a:ext cx="6126480" cy="4047358"/>
                    </a:xfrm>
                    <a:prstGeom prst="rect">
                      <a:avLst/>
                    </a:prstGeom>
                  </pic:spPr>
                </pic:pic>
              </a:graphicData>
            </a:graphic>
          </wp:inline>
        </w:drawing>
      </w:r>
    </w:p>
    <w:p w:rsidR="003C4AD9" w:rsidRDefault="008153F2">
      <w:pPr>
        <w:rPr>
          <w:rFonts w:hint="eastAsia"/>
        </w:rPr>
      </w:pPr>
      <w:r>
        <w:rPr>
          <w:b/>
          <w:color w:val="3A9BC1"/>
          <w:sz w:val="18"/>
        </w:rPr>
        <w:t>KEY INSIGHT</w:t>
      </w:r>
    </w:p>
    <w:p w:rsidR="003C4AD9" w:rsidRDefault="008153F2">
      <w:pPr>
        <w:spacing w:after="120"/>
        <w:rPr>
          <w:rFonts w:hint="eastAsia"/>
        </w:rPr>
      </w:pPr>
      <w:r>
        <w:t>I</w:t>
      </w:r>
      <w:r>
        <w:t>nternational transactions had a 9.85% fraud rate in 2024 versus 4.72% for domestic transactions—more than twice the domestic rate.</w:t>
      </w:r>
    </w:p>
    <w:p w:rsidR="003C4AD9" w:rsidRDefault="008153F2">
      <w:pPr>
        <w:rPr>
          <w:rFonts w:hint="eastAsia"/>
        </w:rPr>
      </w:pPr>
      <w:r>
        <w:rPr>
          <w:b/>
          <w:color w:val="3A9BC1"/>
          <w:sz w:val="18"/>
        </w:rPr>
        <w:t>BUSINESS PROBLEM ADDRESSED</w:t>
      </w:r>
    </w:p>
    <w:p w:rsidR="003C4AD9" w:rsidRDefault="008153F2">
      <w:pPr>
        <w:spacing w:after="120"/>
        <w:rPr>
          <w:rFonts w:hint="eastAsia"/>
        </w:rPr>
      </w:pPr>
      <w:r>
        <w:t>Cross-border activity can introduce additional fraud exposure but blanket blocking would create un</w:t>
      </w:r>
      <w:r>
        <w:t>necessary customer friction.</w:t>
      </w:r>
    </w:p>
    <w:p w:rsidR="003C4AD9" w:rsidRDefault="008153F2">
      <w:pPr>
        <w:rPr>
          <w:rFonts w:hint="eastAsia"/>
        </w:rPr>
      </w:pPr>
      <w:r>
        <w:rPr>
          <w:b/>
          <w:color w:val="3A9BC1"/>
          <w:sz w:val="18"/>
        </w:rPr>
        <w:t>RECOMMENDATION</w:t>
      </w:r>
    </w:p>
    <w:p w:rsidR="00B50926" w:rsidRDefault="008153F2" w:rsidP="00B50926">
      <w:pPr>
        <w:spacing w:after="120"/>
      </w:pPr>
      <w:r>
        <w:t>Apply enhanced authentication to unusual international activity and combine international status with failed attempts, merchant category, amount, device behavior, and customer history.</w:t>
      </w:r>
    </w:p>
    <w:p w:rsidR="003C4AD9" w:rsidRDefault="00B50926" w:rsidP="00B50926">
      <w:pPr>
        <w:rPr>
          <w:rFonts w:hint="eastAsia"/>
        </w:rPr>
      </w:pPr>
      <w:r>
        <w:br w:type="page"/>
      </w:r>
    </w:p>
    <w:p w:rsidR="003C4AD9" w:rsidRDefault="008153F2">
      <w:pPr>
        <w:pStyle w:val="Heading1"/>
      </w:pPr>
      <w:r>
        <w:lastRenderedPageBreak/>
        <w:t>12. Fraud Type Distributio</w:t>
      </w:r>
      <w:r>
        <w:t>n</w:t>
      </w:r>
    </w:p>
    <w:p w:rsidR="003C4AD9" w:rsidRDefault="008153F2">
      <w:pPr>
        <w:rPr>
          <w:rFonts w:hint="eastAsia"/>
        </w:rPr>
      </w:pPr>
      <w:r>
        <w:t>The three most frequent fraud types in 2024 were Phishing (1,852 transactions), Identity Theft (1,841), and Account Takeover (1,830). Their similar counts indicate that fraud is distributed across several major attack mechanisms rather than being dominat</w:t>
      </w:r>
      <w:r>
        <w:t>ed by one category.</w:t>
      </w:r>
    </w:p>
    <w:p w:rsidR="003C4AD9" w:rsidRDefault="008153F2">
      <w:pPr>
        <w:pStyle w:val="Heading2"/>
      </w:pPr>
      <w:r>
        <w:t>Business implications</w:t>
      </w:r>
    </w:p>
    <w:p w:rsidR="003C4AD9" w:rsidRDefault="008153F2">
      <w:pPr>
        <w:rPr>
          <w:rFonts w:hint="eastAsia"/>
        </w:rPr>
      </w:pPr>
      <w:r>
        <w:t>Controls should be differentiated by fraud mechanism: customer awareness and suspicious-link education for phishing; stronger identity verification for identity theft; and multi-factor authentication plus unusual-l</w:t>
      </w:r>
      <w:r>
        <w:t>ogin monitoring for account takeover.</w:t>
      </w:r>
    </w:p>
    <w:p w:rsidR="003C4AD9" w:rsidRDefault="003C4AD9">
      <w:pPr>
        <w:rPr>
          <w:rFonts w:hint="eastAsia"/>
        </w:rPr>
      </w:pPr>
      <w:bookmarkStart w:id="0" w:name="_GoBack"/>
      <w:bookmarkEnd w:id="0"/>
    </w:p>
    <w:p w:rsidR="003C4AD9" w:rsidRDefault="008153F2">
      <w:pPr>
        <w:pStyle w:val="Heading1"/>
      </w:pPr>
      <w:r>
        <w:t>Priority Findings and Action Plan</w:t>
      </w:r>
    </w:p>
    <w:p w:rsidR="00B50926" w:rsidRPr="00B50926" w:rsidRDefault="00B50926" w:rsidP="00B50926"/>
    <w:tbl>
      <w:tblPr>
        <w:tblW w:w="0" w:type="auto"/>
        <w:jc w:val="center"/>
        <w:tblLook w:val="04A0" w:firstRow="1" w:lastRow="0" w:firstColumn="1" w:lastColumn="0" w:noHBand="0" w:noVBand="1"/>
      </w:tblPr>
      <w:tblGrid>
        <w:gridCol w:w="3081"/>
        <w:gridCol w:w="3061"/>
        <w:gridCol w:w="3100"/>
      </w:tblGrid>
      <w:tr w:rsidR="003C4AD9">
        <w:trPr>
          <w:jc w:val="center"/>
        </w:trPr>
        <w:tc>
          <w:tcPr>
            <w:tcW w:w="3360" w:type="dxa"/>
            <w:shd w:val="clear" w:color="auto" w:fill="2E405F"/>
            <w:vAlign w:val="center"/>
          </w:tcPr>
          <w:p w:rsidR="003C4AD9" w:rsidRDefault="008153F2">
            <w:pPr>
              <w:rPr>
                <w:rFonts w:hint="eastAsia"/>
              </w:rPr>
            </w:pPr>
            <w:r>
              <w:rPr>
                <w:b/>
                <w:color w:val="FFFFFF"/>
                <w:sz w:val="18"/>
              </w:rPr>
              <w:t>Priority Finding</w:t>
            </w:r>
          </w:p>
        </w:tc>
        <w:tc>
          <w:tcPr>
            <w:tcW w:w="3360" w:type="dxa"/>
            <w:shd w:val="clear" w:color="auto" w:fill="2E405F"/>
            <w:vAlign w:val="center"/>
          </w:tcPr>
          <w:p w:rsidR="003C4AD9" w:rsidRDefault="008153F2">
            <w:pPr>
              <w:rPr>
                <w:rFonts w:hint="eastAsia"/>
              </w:rPr>
            </w:pPr>
            <w:r>
              <w:rPr>
                <w:b/>
                <w:color w:val="FFFFFF"/>
                <w:sz w:val="18"/>
              </w:rPr>
              <w:t>Evidence</w:t>
            </w:r>
          </w:p>
        </w:tc>
        <w:tc>
          <w:tcPr>
            <w:tcW w:w="3360" w:type="dxa"/>
            <w:shd w:val="clear" w:color="auto" w:fill="2E405F"/>
            <w:vAlign w:val="center"/>
          </w:tcPr>
          <w:p w:rsidR="003C4AD9" w:rsidRDefault="008153F2">
            <w:pPr>
              <w:rPr>
                <w:rFonts w:hint="eastAsia"/>
              </w:rPr>
            </w:pPr>
            <w:r>
              <w:rPr>
                <w:b/>
                <w:color w:val="FFFFFF"/>
                <w:sz w:val="18"/>
              </w:rPr>
              <w:t>Recommended Action</w:t>
            </w:r>
          </w:p>
        </w:tc>
      </w:tr>
      <w:tr w:rsidR="003C4AD9">
        <w:trPr>
          <w:jc w:val="center"/>
        </w:trPr>
        <w:tc>
          <w:tcPr>
            <w:tcW w:w="3360" w:type="dxa"/>
            <w:vAlign w:val="center"/>
          </w:tcPr>
          <w:p w:rsidR="003C4AD9" w:rsidRDefault="008153F2">
            <w:pPr>
              <w:rPr>
                <w:rFonts w:hint="eastAsia"/>
              </w:rPr>
            </w:pPr>
            <w:r>
              <w:rPr>
                <w:b/>
                <w:color w:val="2E405F"/>
                <w:sz w:val="18"/>
              </w:rPr>
              <w:t>Repeated failed attempts</w:t>
            </w:r>
          </w:p>
        </w:tc>
        <w:tc>
          <w:tcPr>
            <w:tcW w:w="3360" w:type="dxa"/>
            <w:vAlign w:val="center"/>
          </w:tcPr>
          <w:p w:rsidR="003C4AD9" w:rsidRDefault="008153F2">
            <w:pPr>
              <w:rPr>
                <w:rFonts w:hint="eastAsia"/>
              </w:rPr>
            </w:pPr>
            <w:r>
              <w:rPr>
                <w:sz w:val="18"/>
              </w:rPr>
              <w:t>~14% fraud rate at 2+ attempts</w:t>
            </w:r>
          </w:p>
        </w:tc>
        <w:tc>
          <w:tcPr>
            <w:tcW w:w="3360" w:type="dxa"/>
            <w:vAlign w:val="center"/>
          </w:tcPr>
          <w:p w:rsidR="003C4AD9" w:rsidRDefault="008153F2">
            <w:pPr>
              <w:rPr>
                <w:rFonts w:hint="eastAsia"/>
              </w:rPr>
            </w:pPr>
            <w:r>
              <w:rPr>
                <w:sz w:val="18"/>
              </w:rPr>
              <w:t>Trigger step-up verification and high-priority monitoring.</w:t>
            </w:r>
          </w:p>
        </w:tc>
      </w:tr>
      <w:tr w:rsidR="003C4AD9">
        <w:trPr>
          <w:jc w:val="center"/>
        </w:trPr>
        <w:tc>
          <w:tcPr>
            <w:tcW w:w="3360" w:type="dxa"/>
            <w:vAlign w:val="center"/>
          </w:tcPr>
          <w:p w:rsidR="003C4AD9" w:rsidRDefault="008153F2">
            <w:pPr>
              <w:rPr>
                <w:rFonts w:hint="eastAsia"/>
              </w:rPr>
            </w:pPr>
            <w:r>
              <w:rPr>
                <w:b/>
                <w:color w:val="2E405F"/>
                <w:sz w:val="18"/>
              </w:rPr>
              <w:t xml:space="preserve">International </w:t>
            </w:r>
            <w:r>
              <w:rPr>
                <w:b/>
                <w:color w:val="2E405F"/>
                <w:sz w:val="18"/>
              </w:rPr>
              <w:t>activity</w:t>
            </w:r>
          </w:p>
        </w:tc>
        <w:tc>
          <w:tcPr>
            <w:tcW w:w="3360" w:type="dxa"/>
            <w:vAlign w:val="center"/>
          </w:tcPr>
          <w:p w:rsidR="003C4AD9" w:rsidRDefault="008153F2">
            <w:pPr>
              <w:rPr>
                <w:rFonts w:hint="eastAsia"/>
              </w:rPr>
            </w:pPr>
            <w:r>
              <w:rPr>
                <w:sz w:val="18"/>
              </w:rPr>
              <w:t>9.85% vs 4.72% domestic</w:t>
            </w:r>
          </w:p>
        </w:tc>
        <w:tc>
          <w:tcPr>
            <w:tcW w:w="3360" w:type="dxa"/>
            <w:vAlign w:val="center"/>
          </w:tcPr>
          <w:p w:rsidR="003C4AD9" w:rsidRDefault="008153F2">
            <w:pPr>
              <w:rPr>
                <w:rFonts w:hint="eastAsia"/>
              </w:rPr>
            </w:pPr>
            <w:r>
              <w:rPr>
                <w:sz w:val="18"/>
              </w:rPr>
              <w:t>Use risk-based authentication for unusual cross-border transactions.</w:t>
            </w:r>
          </w:p>
        </w:tc>
      </w:tr>
      <w:tr w:rsidR="003C4AD9">
        <w:trPr>
          <w:jc w:val="center"/>
        </w:trPr>
        <w:tc>
          <w:tcPr>
            <w:tcW w:w="3360" w:type="dxa"/>
            <w:vAlign w:val="center"/>
          </w:tcPr>
          <w:p w:rsidR="003C4AD9" w:rsidRDefault="008153F2">
            <w:pPr>
              <w:rPr>
                <w:rFonts w:hint="eastAsia"/>
              </w:rPr>
            </w:pPr>
            <w:r>
              <w:rPr>
                <w:b/>
                <w:color w:val="2E405F"/>
                <w:sz w:val="18"/>
              </w:rPr>
              <w:t>High-risk merchant categories</w:t>
            </w:r>
          </w:p>
        </w:tc>
        <w:tc>
          <w:tcPr>
            <w:tcW w:w="3360" w:type="dxa"/>
            <w:vAlign w:val="center"/>
          </w:tcPr>
          <w:p w:rsidR="003C4AD9" w:rsidRDefault="008153F2">
            <w:pPr>
              <w:rPr>
                <w:rFonts w:hint="eastAsia"/>
              </w:rPr>
            </w:pPr>
            <w:r>
              <w:rPr>
                <w:sz w:val="18"/>
              </w:rPr>
              <w:t>&gt;8.7% for Jewelry, ATM Withdrawal, Crypto Exchange</w:t>
            </w:r>
          </w:p>
        </w:tc>
        <w:tc>
          <w:tcPr>
            <w:tcW w:w="3360" w:type="dxa"/>
            <w:vAlign w:val="center"/>
          </w:tcPr>
          <w:p w:rsidR="003C4AD9" w:rsidRDefault="008153F2">
            <w:pPr>
              <w:rPr>
                <w:rFonts w:hint="eastAsia"/>
              </w:rPr>
            </w:pPr>
            <w:r>
              <w:rPr>
                <w:sz w:val="18"/>
              </w:rPr>
              <w:t>Apply category-sensitive controls and enhanced verification.</w:t>
            </w:r>
          </w:p>
        </w:tc>
      </w:tr>
      <w:tr w:rsidR="003C4AD9">
        <w:trPr>
          <w:jc w:val="center"/>
        </w:trPr>
        <w:tc>
          <w:tcPr>
            <w:tcW w:w="3360" w:type="dxa"/>
            <w:vAlign w:val="center"/>
          </w:tcPr>
          <w:p w:rsidR="003C4AD9" w:rsidRDefault="008153F2">
            <w:pPr>
              <w:rPr>
                <w:rFonts w:hint="eastAsia"/>
              </w:rPr>
            </w:pPr>
            <w:r>
              <w:rPr>
                <w:b/>
                <w:color w:val="2E405F"/>
                <w:sz w:val="18"/>
              </w:rPr>
              <w:t>High-volume channels</w:t>
            </w:r>
          </w:p>
        </w:tc>
        <w:tc>
          <w:tcPr>
            <w:tcW w:w="3360" w:type="dxa"/>
            <w:vAlign w:val="center"/>
          </w:tcPr>
          <w:p w:rsidR="003C4AD9" w:rsidRDefault="008153F2">
            <w:pPr>
              <w:rPr>
                <w:rFonts w:hint="eastAsia"/>
              </w:rPr>
            </w:pPr>
            <w:r>
              <w:rPr>
                <w:sz w:val="18"/>
              </w:rPr>
              <w:t>Mobile and Credit Card generate the most cases</w:t>
            </w:r>
          </w:p>
        </w:tc>
        <w:tc>
          <w:tcPr>
            <w:tcW w:w="3360" w:type="dxa"/>
            <w:vAlign w:val="center"/>
          </w:tcPr>
          <w:p w:rsidR="003C4AD9" w:rsidRDefault="008153F2">
            <w:pPr>
              <w:rPr>
                <w:rFonts w:hint="eastAsia"/>
              </w:rPr>
            </w:pPr>
            <w:r>
              <w:rPr>
                <w:sz w:val="18"/>
              </w:rPr>
              <w:t>Scale investigation capacity without confusing volume with inherent risk.</w:t>
            </w:r>
          </w:p>
        </w:tc>
      </w:tr>
      <w:tr w:rsidR="003C4AD9">
        <w:trPr>
          <w:jc w:val="center"/>
        </w:trPr>
        <w:tc>
          <w:tcPr>
            <w:tcW w:w="3360" w:type="dxa"/>
            <w:vAlign w:val="center"/>
          </w:tcPr>
          <w:p w:rsidR="003C4AD9" w:rsidRDefault="008153F2">
            <w:pPr>
              <w:rPr>
                <w:rFonts w:hint="eastAsia"/>
              </w:rPr>
            </w:pPr>
            <w:r>
              <w:rPr>
                <w:b/>
                <w:color w:val="2E405F"/>
                <w:sz w:val="18"/>
              </w:rPr>
              <w:t>Persistent baseline</w:t>
            </w:r>
          </w:p>
        </w:tc>
        <w:tc>
          <w:tcPr>
            <w:tcW w:w="3360" w:type="dxa"/>
            <w:vAlign w:val="center"/>
          </w:tcPr>
          <w:p w:rsidR="003C4AD9" w:rsidRDefault="008153F2">
            <w:pPr>
              <w:rPr>
                <w:rFonts w:hint="eastAsia"/>
              </w:rPr>
            </w:pPr>
            <w:r>
              <w:rPr>
                <w:sz w:val="18"/>
              </w:rPr>
              <w:t>Fraud remained near 5.5% over five years</w:t>
            </w:r>
          </w:p>
        </w:tc>
        <w:tc>
          <w:tcPr>
            <w:tcW w:w="3360" w:type="dxa"/>
            <w:vAlign w:val="center"/>
          </w:tcPr>
          <w:p w:rsidR="003C4AD9" w:rsidRDefault="008153F2">
            <w:pPr>
              <w:rPr>
                <w:rFonts w:hint="eastAsia"/>
              </w:rPr>
            </w:pPr>
            <w:r>
              <w:rPr>
                <w:sz w:val="18"/>
              </w:rPr>
              <w:t>Maintain continuous fraud operations and monitor sho</w:t>
            </w:r>
            <w:r>
              <w:rPr>
                <w:sz w:val="18"/>
              </w:rPr>
              <w:t>rter-term changes.</w:t>
            </w:r>
          </w:p>
        </w:tc>
      </w:tr>
    </w:tbl>
    <w:p w:rsidR="003C4AD9" w:rsidRDefault="003C4AD9" w:rsidP="00A5120F">
      <w:pPr>
        <w:pStyle w:val="ListBullet"/>
        <w:numPr>
          <w:ilvl w:val="0"/>
          <w:numId w:val="0"/>
        </w:numPr>
        <w:rPr>
          <w:rFonts w:hint="eastAsia"/>
        </w:rPr>
      </w:pPr>
    </w:p>
    <w:sectPr w:rsidR="003C4AD9" w:rsidSect="00A5120F">
      <w:headerReference w:type="default" r:id="rId18"/>
      <w:footerReference w:type="defaul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53F2" w:rsidRDefault="008153F2">
      <w:pPr>
        <w:spacing w:before="0" w:after="0" w:line="240" w:lineRule="auto"/>
        <w:rPr>
          <w:rFonts w:hint="eastAsia"/>
        </w:rPr>
      </w:pPr>
      <w:r>
        <w:separator/>
      </w:r>
    </w:p>
  </w:endnote>
  <w:endnote w:type="continuationSeparator" w:id="0">
    <w:p w:rsidR="008153F2" w:rsidRDefault="008153F2">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4AD9" w:rsidRDefault="008153F2">
    <w:pPr>
      <w:pStyle w:val="Footer"/>
      <w:jc w:val="center"/>
      <w:rPr>
        <w:rFonts w:hint="eastAsia"/>
      </w:rPr>
    </w:pPr>
    <w:r>
      <w:fldChar w:fldCharType="begin"/>
    </w:r>
    <w:r>
      <w:instrText>PAGE</w:instrText>
    </w:r>
    <w:r>
      <w:rPr>
        <w:rFonts w:hint="eastAsia"/>
      </w:rPr>
      <w:fldChar w:fldCharType="separate"/>
    </w:r>
    <w:r w:rsidR="00B50926">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53F2" w:rsidRDefault="008153F2">
      <w:pPr>
        <w:spacing w:before="0" w:after="0" w:line="240" w:lineRule="auto"/>
        <w:rPr>
          <w:rFonts w:hint="eastAsia"/>
        </w:rPr>
      </w:pPr>
      <w:r>
        <w:separator/>
      </w:r>
    </w:p>
  </w:footnote>
  <w:footnote w:type="continuationSeparator" w:id="0">
    <w:p w:rsidR="008153F2" w:rsidRDefault="008153F2">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4AD9" w:rsidRDefault="008153F2">
    <w:pPr>
      <w:pStyle w:val="Header"/>
      <w:jc w:val="right"/>
      <w:rPr>
        <w:rFonts w:hint="eastAsia"/>
      </w:rPr>
    </w:pPr>
    <w:r>
      <w:rPr>
        <w:color w:val="666666"/>
        <w:sz w:val="16"/>
      </w:rPr>
      <w:t>FINANCIAL FRAUD ANALYSIS  |  DATA ANALYTICS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4AD9"/>
    <w:rsid w:val="008153F2"/>
    <w:rsid w:val="00A5120F"/>
    <w:rsid w:val="00AA1D8D"/>
    <w:rsid w:val="00B47730"/>
    <w:rsid w:val="00B509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650CE"/>
  <w14:defaultImageDpi w14:val="300"/>
  <w15:docId w15:val="{5651FBE3-0457-4655-8CEF-F01CAA2A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20F"/>
  </w:style>
  <w:style w:type="paragraph" w:styleId="Heading1">
    <w:name w:val="heading 1"/>
    <w:basedOn w:val="Normal"/>
    <w:next w:val="Normal"/>
    <w:link w:val="Heading1Char"/>
    <w:uiPriority w:val="9"/>
    <w:qFormat/>
    <w:rsid w:val="00A5120F"/>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5120F"/>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5120F"/>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A5120F"/>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A5120F"/>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A5120F"/>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A5120F"/>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A5120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5120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5120F"/>
    <w:pPr>
      <w:spacing w:after="0" w:line="240" w:lineRule="auto"/>
    </w:pPr>
  </w:style>
  <w:style w:type="character" w:customStyle="1" w:styleId="Heading1Char">
    <w:name w:val="Heading 1 Char"/>
    <w:basedOn w:val="DefaultParagraphFont"/>
    <w:link w:val="Heading1"/>
    <w:uiPriority w:val="9"/>
    <w:rsid w:val="00A5120F"/>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A5120F"/>
    <w:rPr>
      <w:caps/>
      <w:spacing w:val="15"/>
      <w:shd w:val="clear" w:color="auto" w:fill="DBE5F1" w:themeFill="accent1" w:themeFillTint="33"/>
    </w:rPr>
  </w:style>
  <w:style w:type="character" w:customStyle="1" w:styleId="Heading3Char">
    <w:name w:val="Heading 3 Char"/>
    <w:basedOn w:val="DefaultParagraphFont"/>
    <w:link w:val="Heading3"/>
    <w:uiPriority w:val="9"/>
    <w:rsid w:val="00A5120F"/>
    <w:rPr>
      <w:caps/>
      <w:color w:val="243F60" w:themeColor="accent1" w:themeShade="7F"/>
      <w:spacing w:val="15"/>
    </w:rPr>
  </w:style>
  <w:style w:type="paragraph" w:styleId="Title">
    <w:name w:val="Title"/>
    <w:basedOn w:val="Normal"/>
    <w:next w:val="Normal"/>
    <w:link w:val="TitleChar"/>
    <w:uiPriority w:val="10"/>
    <w:qFormat/>
    <w:rsid w:val="00A5120F"/>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A5120F"/>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A5120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5120F"/>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5120F"/>
    <w:rPr>
      <w:i/>
      <w:iCs/>
      <w:sz w:val="24"/>
      <w:szCs w:val="24"/>
    </w:rPr>
  </w:style>
  <w:style w:type="character" w:customStyle="1" w:styleId="QuoteChar">
    <w:name w:val="Quote Char"/>
    <w:basedOn w:val="DefaultParagraphFont"/>
    <w:link w:val="Quote"/>
    <w:uiPriority w:val="29"/>
    <w:rsid w:val="00A5120F"/>
    <w:rPr>
      <w:i/>
      <w:iCs/>
      <w:sz w:val="24"/>
      <w:szCs w:val="24"/>
    </w:rPr>
  </w:style>
  <w:style w:type="character" w:customStyle="1" w:styleId="Heading4Char">
    <w:name w:val="Heading 4 Char"/>
    <w:basedOn w:val="DefaultParagraphFont"/>
    <w:link w:val="Heading4"/>
    <w:uiPriority w:val="9"/>
    <w:semiHidden/>
    <w:rsid w:val="00A5120F"/>
    <w:rPr>
      <w:caps/>
      <w:color w:val="365F91" w:themeColor="accent1" w:themeShade="BF"/>
      <w:spacing w:val="10"/>
    </w:rPr>
  </w:style>
  <w:style w:type="character" w:customStyle="1" w:styleId="Heading5Char">
    <w:name w:val="Heading 5 Char"/>
    <w:basedOn w:val="DefaultParagraphFont"/>
    <w:link w:val="Heading5"/>
    <w:uiPriority w:val="9"/>
    <w:semiHidden/>
    <w:rsid w:val="00A5120F"/>
    <w:rPr>
      <w:caps/>
      <w:color w:val="365F91" w:themeColor="accent1" w:themeShade="BF"/>
      <w:spacing w:val="10"/>
    </w:rPr>
  </w:style>
  <w:style w:type="character" w:customStyle="1" w:styleId="Heading6Char">
    <w:name w:val="Heading 6 Char"/>
    <w:basedOn w:val="DefaultParagraphFont"/>
    <w:link w:val="Heading6"/>
    <w:uiPriority w:val="9"/>
    <w:semiHidden/>
    <w:rsid w:val="00A5120F"/>
    <w:rPr>
      <w:caps/>
      <w:color w:val="365F91" w:themeColor="accent1" w:themeShade="BF"/>
      <w:spacing w:val="10"/>
    </w:rPr>
  </w:style>
  <w:style w:type="character" w:customStyle="1" w:styleId="Heading7Char">
    <w:name w:val="Heading 7 Char"/>
    <w:basedOn w:val="DefaultParagraphFont"/>
    <w:link w:val="Heading7"/>
    <w:uiPriority w:val="9"/>
    <w:semiHidden/>
    <w:rsid w:val="00A5120F"/>
    <w:rPr>
      <w:caps/>
      <w:color w:val="365F91" w:themeColor="accent1" w:themeShade="BF"/>
      <w:spacing w:val="10"/>
    </w:rPr>
  </w:style>
  <w:style w:type="character" w:customStyle="1" w:styleId="Heading8Char">
    <w:name w:val="Heading 8 Char"/>
    <w:basedOn w:val="DefaultParagraphFont"/>
    <w:link w:val="Heading8"/>
    <w:uiPriority w:val="9"/>
    <w:semiHidden/>
    <w:rsid w:val="00A5120F"/>
    <w:rPr>
      <w:caps/>
      <w:spacing w:val="10"/>
      <w:sz w:val="18"/>
      <w:szCs w:val="18"/>
    </w:rPr>
  </w:style>
  <w:style w:type="character" w:customStyle="1" w:styleId="Heading9Char">
    <w:name w:val="Heading 9 Char"/>
    <w:basedOn w:val="DefaultParagraphFont"/>
    <w:link w:val="Heading9"/>
    <w:uiPriority w:val="9"/>
    <w:semiHidden/>
    <w:rsid w:val="00A5120F"/>
    <w:rPr>
      <w:i/>
      <w:iCs/>
      <w:caps/>
      <w:spacing w:val="10"/>
      <w:sz w:val="18"/>
      <w:szCs w:val="18"/>
    </w:rPr>
  </w:style>
  <w:style w:type="paragraph" w:styleId="Caption">
    <w:name w:val="caption"/>
    <w:basedOn w:val="Normal"/>
    <w:next w:val="Normal"/>
    <w:uiPriority w:val="35"/>
    <w:semiHidden/>
    <w:unhideWhenUsed/>
    <w:qFormat/>
    <w:rsid w:val="00A5120F"/>
    <w:rPr>
      <w:b/>
      <w:bCs/>
      <w:color w:val="365F91" w:themeColor="accent1" w:themeShade="BF"/>
      <w:sz w:val="16"/>
      <w:szCs w:val="16"/>
    </w:rPr>
  </w:style>
  <w:style w:type="character" w:styleId="Strong">
    <w:name w:val="Strong"/>
    <w:uiPriority w:val="22"/>
    <w:qFormat/>
    <w:rsid w:val="00A5120F"/>
    <w:rPr>
      <w:b/>
      <w:bCs/>
    </w:rPr>
  </w:style>
  <w:style w:type="character" w:styleId="Emphasis">
    <w:name w:val="Emphasis"/>
    <w:uiPriority w:val="20"/>
    <w:qFormat/>
    <w:rsid w:val="00A5120F"/>
    <w:rPr>
      <w:caps/>
      <w:color w:val="243F60" w:themeColor="accent1" w:themeShade="7F"/>
      <w:spacing w:val="5"/>
    </w:rPr>
  </w:style>
  <w:style w:type="paragraph" w:styleId="IntenseQuote">
    <w:name w:val="Intense Quote"/>
    <w:basedOn w:val="Normal"/>
    <w:next w:val="Normal"/>
    <w:link w:val="IntenseQuoteChar"/>
    <w:uiPriority w:val="30"/>
    <w:qFormat/>
    <w:rsid w:val="00A5120F"/>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A5120F"/>
    <w:rPr>
      <w:color w:val="4F81BD" w:themeColor="accent1"/>
      <w:sz w:val="24"/>
      <w:szCs w:val="24"/>
    </w:rPr>
  </w:style>
  <w:style w:type="character" w:styleId="SubtleEmphasis">
    <w:name w:val="Subtle Emphasis"/>
    <w:uiPriority w:val="19"/>
    <w:qFormat/>
    <w:rsid w:val="00A5120F"/>
    <w:rPr>
      <w:i/>
      <w:iCs/>
      <w:color w:val="243F60" w:themeColor="accent1" w:themeShade="7F"/>
    </w:rPr>
  </w:style>
  <w:style w:type="character" w:styleId="IntenseEmphasis">
    <w:name w:val="Intense Emphasis"/>
    <w:uiPriority w:val="21"/>
    <w:qFormat/>
    <w:rsid w:val="00A5120F"/>
    <w:rPr>
      <w:b/>
      <w:bCs/>
      <w:caps/>
      <w:color w:val="243F60" w:themeColor="accent1" w:themeShade="7F"/>
      <w:spacing w:val="10"/>
    </w:rPr>
  </w:style>
  <w:style w:type="character" w:styleId="SubtleReference">
    <w:name w:val="Subtle Reference"/>
    <w:uiPriority w:val="31"/>
    <w:qFormat/>
    <w:rsid w:val="00A5120F"/>
    <w:rPr>
      <w:b/>
      <w:bCs/>
      <w:color w:val="4F81BD" w:themeColor="accent1"/>
    </w:rPr>
  </w:style>
  <w:style w:type="character" w:styleId="IntenseReference">
    <w:name w:val="Intense Reference"/>
    <w:uiPriority w:val="32"/>
    <w:qFormat/>
    <w:rsid w:val="00A5120F"/>
    <w:rPr>
      <w:b/>
      <w:bCs/>
      <w:i/>
      <w:iCs/>
      <w:caps/>
      <w:color w:val="4F81BD" w:themeColor="accent1"/>
    </w:rPr>
  </w:style>
  <w:style w:type="character" w:styleId="BookTitle">
    <w:name w:val="Book Title"/>
    <w:uiPriority w:val="33"/>
    <w:qFormat/>
    <w:rsid w:val="00A5120F"/>
    <w:rPr>
      <w:b/>
      <w:bCs/>
      <w:i/>
      <w:iCs/>
      <w:spacing w:val="0"/>
    </w:rPr>
  </w:style>
  <w:style w:type="paragraph" w:styleId="TOCHeading">
    <w:name w:val="TOC Heading"/>
    <w:basedOn w:val="Heading1"/>
    <w:next w:val="Normal"/>
    <w:uiPriority w:val="39"/>
    <w:semiHidden/>
    <w:unhideWhenUsed/>
    <w:qFormat/>
    <w:rsid w:val="00A5120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9CBBD-979F-493E-96B5-6F3C520CD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JANU_2507</cp:lastModifiedBy>
  <cp:revision>3</cp:revision>
  <dcterms:created xsi:type="dcterms:W3CDTF">2013-12-23T23:15:00Z</dcterms:created>
  <dcterms:modified xsi:type="dcterms:W3CDTF">2026-07-19T05:50:00Z</dcterms:modified>
  <cp:category/>
</cp:coreProperties>
</file>