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rFonts w:ascii="Arial" w:hAnsi="Arial"/>
          <w:b/>
          <w:color w:val="007FFF"/>
          <w:sz w:val="30"/>
        </w:rPr>
        <w:t>UMA</w:t>
      </w:r>
    </w:p>
    <w:p>
      <w:pPr>
        <w:spacing w:before="320" w:after="120"/>
      </w:pPr>
      <w:r>
        <w:rPr>
          <w:rFonts w:ascii="Arial" w:hAnsi="Arial"/>
          <w:b/>
          <w:color w:val="0A3D62"/>
          <w:sz w:val="54"/>
        </w:rPr>
        <w:t>Financial Management System</w:t>
      </w:r>
    </w:p>
    <w:p>
      <w:pPr>
        <w:spacing w:after="240"/>
      </w:pPr>
      <w:r>
        <w:rPr>
          <w:rFonts w:ascii="Arial" w:hAnsi="Arial"/>
          <w:b/>
          <w:color w:val="007FFF"/>
          <w:sz w:val="32"/>
        </w:rPr>
        <w:t>Current Feature Baseline, Gap Analysis &amp; Change Requirements</w:t>
      </w:r>
    </w:p>
    <w:tbl>
      <w:tblPr>
        <w:tblW w:type="auto" w:w="0"/>
        <w:jc w:val="left"/>
        <w:tblLook w:firstColumn="1" w:firstRow="1" w:lastColumn="0" w:lastRow="0" w:noHBand="0" w:noVBand="1" w:val="04A0"/>
      </w:tblPr>
      <w:tblGrid>
        <w:gridCol w:w="9994"/>
      </w:tblGrid>
      <w:tr>
        <w:tc>
          <w:tcPr>
            <w:tcW w:type="dxa" w:w="3240"/>
            <w:shd w:fill="007FFF"/>
          </w:tcPr>
          <w:p/>
        </w:tc>
      </w:tr>
    </w:tbl>
    <w:p>
      <w:pPr>
        <w:spacing w:before="440" w:after="80"/>
      </w:pPr>
      <w:r>
        <w:rPr>
          <w:rFonts w:ascii="Arial" w:hAnsi="Arial"/>
          <w:b/>
          <w:color w:val="0A3D62"/>
          <w:sz w:val="22"/>
        </w:rPr>
        <w:t>Purpose</w:t>
      </w:r>
    </w:p>
    <w:p>
      <w:pPr>
        <w:spacing w:before="0" w:after="280" w:line="259" w:lineRule="auto"/>
      </w:pPr>
      <w:r>
        <w:rPr>
          <w:rFonts w:ascii="Arial" w:hAnsi="Arial"/>
          <w:color w:val="172033"/>
          <w:sz w:val="21"/>
        </w:rPr>
        <w:t>Document the features already present in the current frontend/backend codebase, identify the changes required to align the implementation with the FPD and SRS, explain why each change is needed, and capture the business decisions that must be confirmed before final implementation.</w:t>
      </w:r>
    </w:p>
    <w:tbl>
      <w:tblPr>
        <w:tblW w:type="auto" w:w="0"/>
        <w:jc w:val="left"/>
        <w:tblLayout w:type="fixed"/>
        <w:tblLook w:firstColumn="1" w:firstRow="1" w:lastColumn="0" w:lastRow="0" w:noHBand="0" w:noVBand="1" w:val="04A0"/>
      </w:tblPr>
      <w:tblGrid>
        <w:gridCol w:w="4997"/>
        <w:gridCol w:w="4997"/>
      </w:tblGrid>
      <w:tr>
        <w:tc>
          <w:tcPr>
            <w:tcW w:type="dxa" w:w="2232"/>
            <w:shd w:fill="EAF4FF"/>
            <w:tcMar>
              <w:top w:w="90" w:type="dxa"/>
              <w:start w:w="100" w:type="dxa"/>
              <w:bottom w:w="90" w:type="dxa"/>
              <w:end w:w="100" w:type="dxa"/>
            </w:tcMar>
          </w:tcPr>
          <w:p>
            <w:pPr>
              <w:spacing w:before="0" w:after="0" w:line="259" w:lineRule="auto"/>
            </w:pPr>
            <w:r>
              <w:rPr>
                <w:rFonts w:ascii="Arial" w:hAnsi="Arial"/>
                <w:b/>
                <w:color w:val="0A3D62"/>
                <w:sz w:val="18"/>
              </w:rPr>
              <w:t>Project</w:t>
            </w:r>
          </w:p>
        </w:tc>
        <w:tc>
          <w:tcPr>
            <w:tcW w:type="dxa" w:w="6768"/>
            <w:tcMar>
              <w:top w:w="90" w:type="dxa"/>
              <w:start w:w="100" w:type="dxa"/>
              <w:bottom w:w="90" w:type="dxa"/>
              <w:end w:w="100" w:type="dxa"/>
            </w:tcMar>
          </w:tcPr>
          <w:p>
            <w:pPr>
              <w:spacing w:before="0" w:after="0" w:line="259" w:lineRule="auto"/>
            </w:pPr>
            <w:r>
              <w:rPr>
                <w:rFonts w:ascii="Arial" w:hAnsi="Arial"/>
                <w:b w:val="0"/>
                <w:color w:val="172033"/>
                <w:sz w:val="18"/>
              </w:rPr>
              <w:t>Sistema Integral de Gestión de CAPEX, OPEX y Cuentas por Pagar - UMA</w:t>
            </w:r>
          </w:p>
        </w:tc>
      </w:tr>
      <w:tr>
        <w:tc>
          <w:tcPr>
            <w:tcW w:type="dxa" w:w="2232"/>
            <w:shd w:fill="EAF4FF"/>
            <w:tcMar>
              <w:top w:w="90" w:type="dxa"/>
              <w:start w:w="100" w:type="dxa"/>
              <w:bottom w:w="90" w:type="dxa"/>
              <w:end w:w="100" w:type="dxa"/>
            </w:tcMar>
          </w:tcPr>
          <w:p>
            <w:pPr>
              <w:spacing w:before="0" w:after="0" w:line="259" w:lineRule="auto"/>
            </w:pPr>
            <w:r>
              <w:rPr>
                <w:rFonts w:ascii="Arial" w:hAnsi="Arial"/>
                <w:b/>
                <w:color w:val="0A3D62"/>
                <w:sz w:val="18"/>
              </w:rPr>
              <w:t>Document version</w:t>
            </w:r>
          </w:p>
        </w:tc>
        <w:tc>
          <w:tcPr>
            <w:tcW w:type="dxa" w:w="6768"/>
            <w:tcMar>
              <w:top w:w="90" w:type="dxa"/>
              <w:start w:w="100" w:type="dxa"/>
              <w:bottom w:w="90" w:type="dxa"/>
              <w:end w:w="100" w:type="dxa"/>
            </w:tcMar>
          </w:tcPr>
          <w:p>
            <w:r>
              <w:rPr>
                <w:rFonts w:ascii="Aptos" w:hAnsi="Aptos"/>
                <w:sz w:val="18"/>
              </w:rPr>
              <w:t>1.4 - Recommended dependent status model, canonical state governance and derived multi-invoice/rendition progress</w:t>
            </w:r>
          </w:p>
        </w:tc>
      </w:tr>
      <w:tr>
        <w:tc>
          <w:tcPr>
            <w:tcW w:type="dxa" w:w="2232"/>
            <w:shd w:fill="EAF4FF"/>
            <w:tcMar>
              <w:top w:w="90" w:type="dxa"/>
              <w:start w:w="100" w:type="dxa"/>
              <w:bottom w:w="90" w:type="dxa"/>
              <w:end w:w="100" w:type="dxa"/>
            </w:tcMar>
          </w:tcPr>
          <w:p>
            <w:pPr>
              <w:spacing w:before="0" w:after="0" w:line="259" w:lineRule="auto"/>
            </w:pPr>
            <w:r>
              <w:rPr>
                <w:rFonts w:ascii="Arial" w:hAnsi="Arial"/>
                <w:b/>
                <w:color w:val="0A3D62"/>
                <w:sz w:val="18"/>
              </w:rPr>
              <w:t>Assessment date</w:t>
            </w:r>
          </w:p>
        </w:tc>
        <w:tc>
          <w:tcPr>
            <w:tcW w:type="dxa" w:w="6768"/>
            <w:tcMar>
              <w:top w:w="90" w:type="dxa"/>
              <w:start w:w="100" w:type="dxa"/>
              <w:bottom w:w="90" w:type="dxa"/>
              <w:end w:w="100" w:type="dxa"/>
            </w:tcMar>
          </w:tcPr>
          <w:p>
            <w:r>
              <w:t>17 September 2026</w:t>
            </w:r>
          </w:p>
        </w:tc>
      </w:tr>
      <w:tr>
        <w:tc>
          <w:tcPr>
            <w:tcW w:type="dxa" w:w="2232"/>
            <w:shd w:fill="EAF4FF"/>
            <w:tcMar>
              <w:top w:w="90" w:type="dxa"/>
              <w:start w:w="100" w:type="dxa"/>
              <w:bottom w:w="90" w:type="dxa"/>
              <w:end w:w="100" w:type="dxa"/>
            </w:tcMar>
          </w:tcPr>
          <w:p>
            <w:pPr>
              <w:spacing w:before="0" w:after="0" w:line="259" w:lineRule="auto"/>
            </w:pPr>
            <w:r>
              <w:rPr>
                <w:rFonts w:ascii="Arial" w:hAnsi="Arial"/>
                <w:b/>
                <w:color w:val="0A3D62"/>
                <w:sz w:val="18"/>
              </w:rPr>
              <w:t>Primary references</w:t>
            </w:r>
          </w:p>
        </w:tc>
        <w:tc>
          <w:tcPr>
            <w:tcW w:type="dxa" w:w="6768"/>
            <w:tcMar>
              <w:top w:w="90" w:type="dxa"/>
              <w:start w:w="100" w:type="dxa"/>
              <w:bottom w:w="90" w:type="dxa"/>
              <w:end w:w="100" w:type="dxa"/>
            </w:tcMar>
          </w:tcPr>
          <w:p>
            <w:r>
              <w:t>FPD assumptions document + Functional &amp; Technical Specifications (SRS) v1.0, August 2026 + current frontend/backend code + Centro de Costo - Tesoreria.xlsx + actual UMA BBVA payment TXT samples (PEN/USD)</w:t>
            </w:r>
          </w:p>
        </w:tc>
      </w:tr>
    </w:tbl>
    <w:tbl>
      <w:tblPr>
        <w:tblW w:type="auto" w:w="0"/>
        <w:jc w:val="center"/>
        <w:tblLook w:firstColumn="1" w:firstRow="1" w:lastColumn="0" w:lastRow="0" w:noHBand="0" w:noVBand="1" w:val="04A0"/>
      </w:tblPr>
      <w:tblGrid>
        <w:gridCol w:w="9994"/>
      </w:tblGrid>
      <w:tr>
        <w:tc>
          <w:tcPr>
            <w:tcW w:type="dxa" w:w="9994"/>
            <w:shd w:fill="EAF4FF"/>
            <w:tcBorders>
              <w:top w:sz="4" w:val="single" w:color="EAF4FF"/>
              <w:left w:sz="22" w:val="single" w:color="0A3D62"/>
              <w:bottom w:sz="4" w:val="single" w:color="EAF4FF"/>
              <w:right w:sz="4" w:val="single" w:color="EAF4FF"/>
            </w:tcBorders>
            <w:tcMar>
              <w:top w:w="140" w:type="dxa"/>
              <w:start w:w="180" w:type="dxa"/>
              <w:bottom w:w="140" w:type="dxa"/>
              <w:end w:w="180" w:type="dxa"/>
            </w:tcMar>
          </w:tcPr>
          <w:p>
            <w:pPr>
              <w:spacing w:before="0" w:after="40" w:line="259" w:lineRule="auto"/>
            </w:pPr>
            <w:r>
              <w:rPr>
                <w:rFonts w:ascii="Arial" w:hAnsi="Arial"/>
                <w:b/>
                <w:color w:val="0A3D62"/>
                <w:sz w:val="21"/>
              </w:rPr>
              <w:t>Assessment principle</w:t>
            </w:r>
          </w:p>
          <w:p>
            <w:pPr>
              <w:spacing w:before="0" w:after="0" w:line="259" w:lineRule="auto"/>
            </w:pPr>
            <w:r>
              <w:rPr>
                <w:rFonts w:ascii="Arial" w:hAnsi="Arial"/>
                <w:color w:val="172033"/>
                <w:sz w:val="19"/>
              </w:rPr>
              <w:t>Where the FPD and SRS describe the same concept differently, the newer and more granular SRS workflow is treated as the target baseline, while FPD rules remain mandatory for accounting, SUNAT, period closing, multicurrency and data integrity. Any business-process conflict is flagged for UMA confirmation rather than silently changed.</w:t>
            </w:r>
          </w:p>
        </w:tc>
      </w:tr>
    </w:tbl>
    <w:p>
      <w:pPr>
        <w:spacing w:after="20"/>
      </w:pPr>
    </w:p>
    <w:p>
      <w:pPr>
        <w:sectPr>
          <w:headerReference w:type="default" r:id="rId9"/>
          <w:footerReference w:type="default" r:id="rId10"/>
          <w:pgSz w:w="12240" w:h="15840"/>
          <w:pgMar w:top="1037" w:right="1123" w:bottom="979" w:left="1123" w:header="403" w:footer="403" w:gutter="0"/>
          <w:cols w:space="720"/>
          <w:docGrid w:linePitch="360"/>
          <w:pgBorders w:offsetFrom="page">
            <w:top w:val="single" w:sz="8" w:space="18" w:color="CBD5E1"/>
            <w:left w:val="single" w:sz="8" w:space="18" w:color="CBD5E1"/>
            <w:bottom w:val="single" w:sz="8" w:space="18" w:color="CBD5E1"/>
            <w:right w:val="single" w:sz="8" w:space="18" w:color="CBD5E1"/>
          </w:pgBorders>
        </w:sectPr>
      </w:pPr>
    </w:p>
    <w:p>
      <w:pPr>
        <w:spacing w:before="40" w:after="60" w:line="259" w:lineRule="auto"/>
        <w:jc w:val="left"/>
      </w:pPr>
      <w:r>
        <w:rPr>
          <w:rFonts w:ascii="Arial" w:hAnsi="Arial"/>
          <w:b/>
          <w:color w:val="0A3D62"/>
          <w:sz w:val="40"/>
        </w:rPr>
        <w:t>Document Guide</w:t>
      </w:r>
    </w:p>
    <w:p>
      <w:pPr>
        <w:spacing w:before="0" w:after="200" w:line="259" w:lineRule="auto"/>
      </w:pPr>
      <w:r>
        <w:rPr>
          <w:rFonts w:ascii="Arial" w:hAnsi="Arial"/>
          <w:color w:val="475569"/>
          <w:sz w:val="21"/>
        </w:rPr>
        <w:t>How to read this assessment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1"/>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9"/>
              </w:rPr>
              <w:t>Section</w:t>
            </w:r>
          </w:p>
        </w:tc>
        <w:tc>
          <w:tcPr>
            <w:tcW w:type="dxa" w:w="6120"/>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9"/>
              </w:rPr>
              <w:t>What it answers</w:t>
            </w:r>
          </w:p>
        </w:tc>
      </w:tr>
      <w:tr>
        <w:tc>
          <w:tcPr>
            <w:tcW w:type="dxa" w:w="2951"/>
            <w:tcMar>
              <w:top w:w="95" w:type="dxa"/>
              <w:start w:w="100" w:type="dxa"/>
              <w:bottom w:w="95" w:type="dxa"/>
              <w:end w:w="100" w:type="dxa"/>
            </w:tcMar>
            <w:vAlign w:val="center"/>
          </w:tcPr>
          <w:p>
            <w:pPr>
              <w:spacing w:before="0" w:after="0" w:line="247" w:lineRule="auto"/>
              <w:jc w:val="left"/>
            </w:pPr>
            <w:r>
              <w:rPr>
                <w:rFonts w:ascii="Arial" w:hAnsi="Arial"/>
                <w:color w:val="172033"/>
                <w:sz w:val="19"/>
              </w:rPr>
              <w:t>1. Executive Assessment</w:t>
            </w:r>
          </w:p>
        </w:tc>
        <w:tc>
          <w:tcPr>
            <w:tcW w:type="dxa" w:w="6120"/>
            <w:tcMar>
              <w:top w:w="95" w:type="dxa"/>
              <w:start w:w="100" w:type="dxa"/>
              <w:bottom w:w="95" w:type="dxa"/>
              <w:end w:w="100" w:type="dxa"/>
            </w:tcMar>
            <w:vAlign w:val="center"/>
          </w:tcPr>
          <w:p>
            <w:pPr>
              <w:spacing w:before="0" w:after="0" w:line="247" w:lineRule="auto"/>
              <w:jc w:val="left"/>
            </w:pPr>
            <w:r>
              <w:rPr>
                <w:rFonts w:ascii="Arial" w:hAnsi="Arial"/>
                <w:color w:val="172033"/>
                <w:sz w:val="19"/>
              </w:rPr>
              <w:t>Does the current system already implement the required solution?</w:t>
            </w:r>
          </w:p>
        </w:tc>
      </w:tr>
      <w:tr>
        <w:tc>
          <w:tcPr>
            <w:tcW w:type="dxa" w:w="2951"/>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2. Existing System Features</w:t>
            </w:r>
          </w:p>
        </w:tc>
        <w:tc>
          <w:tcPr>
            <w:tcW w:type="dxa" w:w="612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What is already available in the frontend and backend?</w:t>
            </w:r>
          </w:p>
        </w:tc>
      </w:tr>
      <w:tr>
        <w:tc>
          <w:tcPr>
            <w:tcW w:type="dxa" w:w="2951"/>
            <w:tcMar>
              <w:top w:w="95" w:type="dxa"/>
              <w:start w:w="100" w:type="dxa"/>
              <w:bottom w:w="95" w:type="dxa"/>
              <w:end w:w="100" w:type="dxa"/>
            </w:tcMar>
            <w:vAlign w:val="center"/>
          </w:tcPr>
          <w:p>
            <w:pPr>
              <w:spacing w:before="0" w:after="0" w:line="247" w:lineRule="auto"/>
              <w:jc w:val="left"/>
            </w:pPr>
            <w:r>
              <w:rPr>
                <w:rFonts w:ascii="Arial" w:hAnsi="Arial"/>
                <w:color w:val="172033"/>
                <w:sz w:val="19"/>
              </w:rPr>
              <w:t>3. Current Implemented Workflows</w:t>
            </w:r>
          </w:p>
        </w:tc>
        <w:tc>
          <w:tcPr>
            <w:tcW w:type="dxa" w:w="6120"/>
            <w:tcMar>
              <w:top w:w="95" w:type="dxa"/>
              <w:start w:w="100" w:type="dxa"/>
              <w:bottom w:w="95" w:type="dxa"/>
              <w:end w:w="100" w:type="dxa"/>
            </w:tcMar>
            <w:vAlign w:val="center"/>
          </w:tcPr>
          <w:p>
            <w:pPr>
              <w:spacing w:before="0" w:after="0" w:line="247" w:lineRule="auto"/>
              <w:jc w:val="left"/>
            </w:pPr>
            <w:r>
              <w:rPr>
                <w:rFonts w:ascii="Arial" w:hAnsi="Arial"/>
                <w:color w:val="172033"/>
                <w:sz w:val="19"/>
              </w:rPr>
              <w:t>How do A1, A2, B and C currently behave?</w:t>
            </w:r>
          </w:p>
        </w:tc>
      </w:tr>
      <w:tr>
        <w:tc>
          <w:tcPr>
            <w:tcW w:type="dxa" w:w="2951"/>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4. Alignment Gaps</w:t>
            </w:r>
          </w:p>
        </w:tc>
        <w:tc>
          <w:tcPr>
            <w:tcW w:type="dxa" w:w="612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What differs from the FPD/SRS?</w:t>
            </w:r>
          </w:p>
        </w:tc>
      </w:tr>
      <w:tr>
        <w:tc>
          <w:tcPr>
            <w:tcW w:type="dxa" w:w="2951"/>
            <w:tcMar>
              <w:top w:w="95" w:type="dxa"/>
              <w:start w:w="100" w:type="dxa"/>
              <w:bottom w:w="95" w:type="dxa"/>
              <w:end w:w="100" w:type="dxa"/>
            </w:tcMar>
            <w:vAlign w:val="center"/>
          </w:tcPr>
          <w:p>
            <w:pPr>
              <w:spacing w:before="0" w:after="0" w:line="247" w:lineRule="auto"/>
              <w:jc w:val="left"/>
            </w:pPr>
            <w:r>
              <w:rPr>
                <w:rFonts w:ascii="Arial" w:hAnsi="Arial"/>
                <w:color w:val="172033"/>
                <w:sz w:val="19"/>
              </w:rPr>
              <w:t>5. Planned Changes</w:t>
            </w:r>
          </w:p>
        </w:tc>
        <w:tc>
          <w:tcPr>
            <w:tcW w:type="dxa" w:w="6120"/>
            <w:tcMar>
              <w:top w:w="95" w:type="dxa"/>
              <w:start w:w="100" w:type="dxa"/>
              <w:bottom w:w="95" w:type="dxa"/>
              <w:end w:w="100" w:type="dxa"/>
            </w:tcMar>
            <w:vAlign w:val="center"/>
          </w:tcPr>
          <w:p>
            <w:pPr>
              <w:spacing w:before="0" w:after="0" w:line="247" w:lineRule="auto"/>
              <w:jc w:val="left"/>
            </w:pPr>
            <w:r>
              <w:rPr>
                <w:rFonts w:ascii="Arial" w:hAnsi="Arial"/>
                <w:color w:val="172033"/>
                <w:sz w:val="19"/>
              </w:rPr>
              <w:t>What should be changed, where, and why?</w:t>
            </w:r>
          </w:p>
        </w:tc>
      </w:tr>
      <w:tr>
        <w:tc>
          <w:tcPr>
            <w:tcW w:type="dxa" w:w="2951"/>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6. Open Decisions / Doubts</w:t>
            </w:r>
          </w:p>
        </w:tc>
        <w:tc>
          <w:tcPr>
            <w:tcW w:type="dxa" w:w="612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What must UMA Finance/Management clarify before final development?</w:t>
            </w:r>
          </w:p>
        </w:tc>
      </w:tr>
      <w:tr>
        <w:tc>
          <w:tcPr>
            <w:tcW w:type="dxa" w:w="2951"/>
            <w:tcMar>
              <w:top w:w="95" w:type="dxa"/>
              <w:start w:w="100" w:type="dxa"/>
              <w:bottom w:w="95" w:type="dxa"/>
              <w:end w:w="100" w:type="dxa"/>
            </w:tcMar>
            <w:vAlign w:val="center"/>
          </w:tcPr>
          <w:p>
            <w:pPr>
              <w:spacing w:before="0" w:after="0" w:line="247" w:lineRule="auto"/>
              <w:jc w:val="left"/>
            </w:pPr>
            <w:r>
              <w:rPr>
                <w:rFonts w:ascii="Arial" w:hAnsi="Arial"/>
                <w:color w:val="172033"/>
                <w:sz w:val="19"/>
              </w:rPr>
              <w:t>7. Functional &amp; Technical Requirements</w:t>
            </w:r>
          </w:p>
        </w:tc>
        <w:tc>
          <w:tcPr>
            <w:tcW w:type="dxa" w:w="6120"/>
            <w:tcMar>
              <w:top w:w="95" w:type="dxa"/>
              <w:start w:w="100" w:type="dxa"/>
              <w:bottom w:w="95" w:type="dxa"/>
              <w:end w:w="100" w:type="dxa"/>
            </w:tcMar>
            <w:vAlign w:val="center"/>
          </w:tcPr>
          <w:p>
            <w:pPr>
              <w:spacing w:before="0" w:after="0" w:line="247" w:lineRule="auto"/>
              <w:jc w:val="left"/>
            </w:pPr>
            <w:r>
              <w:rPr>
                <w:rFonts w:ascii="Arial" w:hAnsi="Arial"/>
                <w:color w:val="172033"/>
                <w:sz w:val="19"/>
              </w:rPr>
              <w:t>What must be true for each change to be accepted?</w:t>
            </w:r>
          </w:p>
        </w:tc>
      </w:tr>
      <w:tr>
        <w:tc>
          <w:tcPr>
            <w:tcW w:type="dxa" w:w="2951"/>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8. Implementation Priority</w:t>
            </w:r>
          </w:p>
        </w:tc>
        <w:tc>
          <w:tcPr>
            <w:tcW w:type="dxa" w:w="612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9"/>
              </w:rPr>
              <w:t>What should be fixed before production vs later?</w:t>
            </w:r>
          </w:p>
        </w:tc>
      </w:tr>
      <w:tr>
        <w:tc>
          <w:tcPr>
            <w:tcW w:type="dxa" w:w="2951"/>
            <w:tcMar>
              <w:top w:w="95" w:type="dxa"/>
              <w:start w:w="100" w:type="dxa"/>
              <w:bottom w:w="95" w:type="dxa"/>
              <w:end w:w="100" w:type="dxa"/>
            </w:tcMar>
            <w:vAlign w:val="center"/>
          </w:tcPr>
          <w:p>
            <w:pPr>
              <w:spacing w:before="0" w:after="0" w:line="247" w:lineRule="auto"/>
              <w:jc w:val="left"/>
            </w:pPr>
            <w:r>
              <w:rPr>
                <w:rFonts w:ascii="Arial" w:hAnsi="Arial"/>
                <w:color w:val="172033"/>
                <w:sz w:val="19"/>
              </w:rPr>
              <w:t>9. Target Workflow</w:t>
            </w:r>
          </w:p>
        </w:tc>
        <w:tc>
          <w:tcPr>
            <w:tcW w:type="dxa" w:w="6120"/>
            <w:tcMar>
              <w:top w:w="95" w:type="dxa"/>
              <w:start w:w="100" w:type="dxa"/>
              <w:bottom w:w="95" w:type="dxa"/>
              <w:end w:w="100" w:type="dxa"/>
            </w:tcMar>
            <w:vAlign w:val="center"/>
          </w:tcPr>
          <w:p>
            <w:pPr>
              <w:spacing w:before="0" w:after="0" w:line="247" w:lineRule="auto"/>
              <w:jc w:val="left"/>
            </w:pPr>
            <w:r>
              <w:rPr>
                <w:rFonts w:ascii="Arial" w:hAnsi="Arial"/>
                <w:color w:val="172033"/>
                <w:sz w:val="19"/>
              </w:rPr>
              <w:t>What the final system should look like after alignment.</w:t>
            </w:r>
          </w:p>
        </w:tc>
      </w:tr>
    </w:tbl>
    <w:p>
      <w:pPr>
        <w:spacing w:after="20"/>
      </w:pPr>
    </w:p>
    <w:p>
      <w:pPr>
        <w:pStyle w:val="Heading2"/>
        <w:keepNext/>
        <w:spacing w:before="180" w:after="80"/>
      </w:pPr>
      <w:r>
        <w:rPr>
          <w:rFonts w:ascii="Arial" w:hAnsi="Arial"/>
          <w:b/>
          <w:color w:val="007FFF"/>
          <w:sz w:val="24"/>
        </w:rPr>
        <w:t>Status Legend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8"/>
              </w:rPr>
              <w:t>Status</w:t>
            </w:r>
          </w:p>
        </w:tc>
        <w:tc>
          <w:tcPr>
            <w:tcW w:type="dxa" w:w="6552"/>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8"/>
              </w:rPr>
              <w:t>Meaning</w:t>
            </w:r>
          </w:p>
        </w:tc>
      </w:tr>
      <w:tr>
        <w:tc>
          <w:tcPr>
            <w:tcW w:type="dxa" w:w="2520"/>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8"/>
              </w:rPr>
            </w:r>
            <w:r>
              <w:rPr>
                <w:rFonts w:ascii="Arial" w:hAnsi="Arial"/>
                <w:b/>
                <w:color w:val="15803D"/>
                <w:sz w:val="17"/>
              </w:rPr>
              <w:t>IMPLEMENTED</w:t>
            </w:r>
          </w:p>
        </w:tc>
        <w:tc>
          <w:tcPr>
            <w:tcW w:type="dxa" w:w="6552"/>
            <w:tcMar>
              <w:top w:w="95" w:type="dxa"/>
              <w:start w:w="100" w:type="dxa"/>
              <w:bottom w:w="95" w:type="dxa"/>
              <w:end w:w="100" w:type="dxa"/>
            </w:tcMar>
            <w:vAlign w:val="center"/>
          </w:tcPr>
          <w:p>
            <w:pPr>
              <w:spacing w:before="0" w:after="0" w:line="247" w:lineRule="auto"/>
              <w:jc w:val="left"/>
            </w:pPr>
            <w:r>
              <w:rPr>
                <w:rFonts w:ascii="Arial" w:hAnsi="Arial"/>
                <w:color w:val="172033"/>
                <w:sz w:val="18"/>
              </w:rPr>
              <w:t>Present in the current codebase and substantially aligned with the documents.</w:t>
            </w:r>
          </w:p>
        </w:tc>
      </w:tr>
      <w:tr>
        <w:tc>
          <w:tcPr>
            <w:tcW w:type="dxa" w:w="2520"/>
            <w:tcMar>
              <w:top w:w="95" w:type="dxa"/>
              <w:start w:w="100" w:type="dxa"/>
              <w:bottom w:w="95" w:type="dxa"/>
              <w:end w:w="100" w:type="dxa"/>
            </w:tcMar>
            <w:vAlign w:val="center"/>
            <w:shd w:fill="FFF4E5"/>
          </w:tcPr>
          <w:p>
            <w:pPr>
              <w:spacing w:before="0" w:after="0" w:line="247" w:lineRule="auto"/>
              <w:jc w:val="center"/>
            </w:pPr>
            <w:r>
              <w:rPr>
                <w:rFonts w:ascii="Arial" w:hAnsi="Arial"/>
                <w:color w:val="172033"/>
                <w:sz w:val="18"/>
              </w:rPr>
            </w:r>
            <w:r>
              <w:rPr>
                <w:rFonts w:ascii="Arial" w:hAnsi="Arial"/>
                <w:b/>
                <w:color w:val="B45309"/>
                <w:sz w:val="17"/>
              </w:rPr>
              <w:t>ALIGNMENT REQUIRED</w:t>
            </w:r>
          </w:p>
        </w:tc>
        <w:tc>
          <w:tcPr>
            <w:tcW w:type="dxa" w:w="655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Feature exists, but business logic or sequencing should be adjusted.</w:t>
            </w:r>
          </w:p>
        </w:tc>
      </w:tr>
      <w:tr>
        <w:tc>
          <w:tcPr>
            <w:tcW w:type="dxa" w:w="2520"/>
            <w:tcMar>
              <w:top w:w="95" w:type="dxa"/>
              <w:start w:w="100" w:type="dxa"/>
              <w:bottom w:w="95" w:type="dxa"/>
              <w:end w:w="100" w:type="dxa"/>
            </w:tcMar>
            <w:vAlign w:val="center"/>
            <w:shd w:fill="FDECEC"/>
          </w:tcPr>
          <w:p>
            <w:pPr>
              <w:spacing w:before="0" w:after="0" w:line="247" w:lineRule="auto"/>
              <w:jc w:val="center"/>
            </w:pPr>
            <w:r>
              <w:rPr>
                <w:rFonts w:ascii="Arial" w:hAnsi="Arial"/>
                <w:color w:val="172033"/>
                <w:sz w:val="18"/>
              </w:rPr>
            </w:r>
            <w:r>
              <w:rPr>
                <w:rFonts w:ascii="Arial" w:hAnsi="Arial"/>
                <w:b/>
                <w:color w:val="B91C1C"/>
                <w:sz w:val="17"/>
              </w:rPr>
              <w:t>EXTERNAL INPUT REQUIRED</w:t>
            </w:r>
          </w:p>
        </w:tc>
        <w:tc>
          <w:tcPr>
            <w:tcW w:type="dxa" w:w="6552"/>
            <w:tcMar>
              <w:top w:w="95" w:type="dxa"/>
              <w:start w:w="100" w:type="dxa"/>
              <w:bottom w:w="95" w:type="dxa"/>
              <w:end w:w="100" w:type="dxa"/>
            </w:tcMar>
            <w:vAlign w:val="center"/>
          </w:tcPr>
          <w:p>
            <w:pPr>
              <w:spacing w:before="0" w:after="0" w:line="247" w:lineRule="auto"/>
              <w:jc w:val="left"/>
            </w:pPr>
            <w:r>
              <w:rPr>
                <w:rFonts w:ascii="Arial" w:hAnsi="Arial"/>
                <w:color w:val="172033"/>
                <w:sz w:val="18"/>
              </w:rPr>
              <w:t>Code exists or can be completed, but UMA/bank/SUNAT input is required.</w:t>
            </w:r>
          </w:p>
        </w:tc>
      </w:tr>
      <w:tr>
        <w:tc>
          <w:tcPr>
            <w:tcW w:type="dxa" w:w="2520"/>
            <w:tcMar>
              <w:top w:w="95" w:type="dxa"/>
              <w:start w:w="100" w:type="dxa"/>
              <w:bottom w:w="95" w:type="dxa"/>
              <w:end w:w="100" w:type="dxa"/>
            </w:tcMar>
            <w:vAlign w:val="center"/>
            <w:shd w:fill="F3E8FF"/>
          </w:tcPr>
          <w:p>
            <w:pPr>
              <w:spacing w:before="0" w:after="0" w:line="247" w:lineRule="auto"/>
              <w:jc w:val="center"/>
            </w:pPr>
            <w:r>
              <w:rPr>
                <w:rFonts w:ascii="Arial" w:hAnsi="Arial"/>
                <w:color w:val="172033"/>
                <w:sz w:val="18"/>
              </w:rPr>
            </w:r>
            <w:r>
              <w:rPr>
                <w:rFonts w:ascii="Arial" w:hAnsi="Arial"/>
                <w:b/>
                <w:color w:val="6D28D9"/>
                <w:sz w:val="17"/>
              </w:rPr>
              <w:t>BUSINESS DECISION REQUIRED</w:t>
            </w:r>
          </w:p>
        </w:tc>
        <w:tc>
          <w:tcPr>
            <w:tcW w:type="dxa" w:w="655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Two valid process interpretations exist; UMA must confirm the official rule.</w:t>
            </w:r>
          </w:p>
        </w:tc>
      </w:tr>
    </w:tbl>
    <w:p>
      <w:pPr>
        <w:spacing w:after="20"/>
      </w:pPr>
    </w:p>
    <w:p>
      <w:pPr>
        <w:pStyle w:val="Heading1"/>
        <w:keepNext/>
        <w:spacing w:before="240" w:after="120"/>
      </w:pPr>
      <w:r>
        <w:rPr>
          <w:rFonts w:ascii="Arial" w:hAnsi="Arial"/>
          <w:b/>
          <w:color w:val="0A3D62"/>
          <w:sz w:val="30"/>
        </w:rPr>
        <w:t>1. Executive Assessment</w:t>
      </w:r>
    </w:p>
    <w:p>
      <w:pPr>
        <w:spacing w:before="0" w:after="100" w:line="259" w:lineRule="auto"/>
      </w:pPr>
      <w:r>
        <w:rPr>
          <w:rFonts w:ascii="Arial" w:hAnsi="Arial"/>
          <w:color w:val="172033"/>
          <w:sz w:val="21"/>
        </w:rPr>
        <w:t>The current frontend and backend already contain the majority of the functional architecture described by the FPD and SRS. The project does not require a rebuild. The correct approach is an alignment and production-hardening phase focused on workflow enforcement, official external formats, and a small number of business decisions.</w:t>
      </w:r>
    </w:p>
    <w:tbl>
      <w:tblPr>
        <w:tblW w:type="auto" w:w="0"/>
        <w:jc w:val="center"/>
        <w:tblLook w:firstColumn="1" w:firstRow="1" w:lastColumn="0" w:lastRow="0" w:noHBand="0" w:noVBand="1" w:val="04A0"/>
      </w:tblPr>
      <w:tblGrid>
        <w:gridCol w:w="9994"/>
      </w:tblGrid>
      <w:tr>
        <w:tc>
          <w:tcPr>
            <w:tcW w:type="dxa" w:w="9994"/>
            <w:shd w:fill="EAF7EE"/>
            <w:tcBorders>
              <w:top w:sz="4" w:val="single" w:color="EAF7EE"/>
              <w:left w:sz="22" w:val="single" w:color="15803D"/>
              <w:bottom w:sz="4" w:val="single" w:color="EAF7EE"/>
              <w:right w:sz="4" w:val="single" w:color="EAF7EE"/>
            </w:tcBorders>
            <w:tcMar>
              <w:top w:w="140" w:type="dxa"/>
              <w:start w:w="180" w:type="dxa"/>
              <w:bottom w:w="140" w:type="dxa"/>
              <w:end w:w="180" w:type="dxa"/>
            </w:tcMar>
          </w:tcPr>
          <w:p>
            <w:pPr>
              <w:spacing w:before="0" w:after="40" w:line="259" w:lineRule="auto"/>
            </w:pPr>
            <w:r>
              <w:rPr>
                <w:rFonts w:ascii="Arial" w:hAnsi="Arial"/>
                <w:b/>
                <w:color w:val="15803D"/>
                <w:sz w:val="21"/>
              </w:rPr>
              <w:t>Overall conclusion</w:t>
            </w:r>
          </w:p>
          <w:p>
            <w:pPr>
              <w:spacing w:before="0" w:after="0" w:line="259" w:lineRule="auto"/>
            </w:pPr>
            <w:r>
              <w:rPr>
                <w:rFonts w:ascii="Arial" w:hAnsi="Arial"/>
                <w:color w:val="172033"/>
                <w:sz w:val="19"/>
              </w:rPr>
              <w:t>The system is functionally advanced: requests, suppliers, approvals, budget commitment, accounting/CXP, accounting periods, Treasury, payment confirmation, reconciliation, SIRE export, audit, renditions and management reporting are already represented. The remaining work is concentrated in several high-impact controls rather than missing core modules.</w:t>
            </w:r>
          </w:p>
        </w:tc>
      </w:tr>
    </w:tbl>
    <w:p>
      <w:pPr>
        <w:spacing w:after="20"/>
      </w:pPr>
    </w:p>
    <w:p>
      <w:pPr>
        <w:spacing w:before="0" w:after="100" w:line="259" w:lineRule="auto"/>
      </w:pPr>
      <w:r>
        <w:rPr>
          <w:rFonts w:ascii="Arial" w:hAnsi="Arial"/>
          <w:color w:val="172033"/>
          <w:sz w:val="21"/>
        </w:rPr>
        <w:t>The most important gaps identified are:</w:t>
      </w:r>
    </w:p>
    <w:p>
      <w:pPr>
        <w:pStyle w:val="ListBullet"/>
        <w:spacing w:before="0" w:after="40" w:line="259" w:lineRule="auto"/>
        <w:ind w:left="317" w:hanging="173"/>
      </w:pPr>
      <w:r>
        <w:rPr>
          <w:rFonts w:ascii="Arial" w:hAnsi="Arial"/>
          <w:color w:val="172033"/>
          <w:sz w:val="20"/>
        </w:rPr>
        <w:t>Document rules are partly hard-coded by flow type and can bypass the configured document-rule catalogue.</w:t>
      </w:r>
    </w:p>
    <w:p>
      <w:pPr>
        <w:pStyle w:val="ListBullet"/>
        <w:spacing w:before="0" w:after="40" w:line="259" w:lineRule="auto"/>
        <w:ind w:left="317" w:hanging="173"/>
      </w:pPr>
      <w:r>
        <w:rPr>
          <w:rFonts w:ascii="Arial" w:hAnsi="Arial"/>
          <w:color w:val="172033"/>
          <w:sz w:val="20"/>
        </w:rPr>
        <w:t>Track B currently defaults to an express Director-only approval route, while the SRS describes Director → Vice Rector.</w:t>
      </w:r>
    </w:p>
    <w:p>
      <w:pPr>
        <w:pStyle w:val="ListBullet"/>
        <w:spacing w:before="0" w:after="40" w:line="259" w:lineRule="auto"/>
        <w:ind w:left="317" w:hanging="173"/>
      </w:pPr>
      <w:r>
        <w:rPr>
          <w:rFonts w:ascii="Arial" w:hAnsi="Arial"/>
          <w:color w:val="172033"/>
          <w:sz w:val="20"/>
        </w:rPr>
        <w:t>The automatic exchange-rate screen currently uses a BCRP/SBS reference fallback, although the FPD requires the official SUNAT selling rate.</w:t>
      </w:r>
    </w:p>
    <w:p>
      <w:pPr>
        <w:pStyle w:val="ListBullet"/>
        <w:spacing w:before="0" w:after="40" w:line="259" w:lineRule="auto"/>
        <w:ind w:left="317" w:hanging="173"/>
      </w:pPr>
      <w:r>
        <w:t>Bank TXT adapters currently exist for BBVA, BCP, Interbank and Scotiabank, but UMA has confirmed that all Treasury outgoing payment batches are made from BBVA only. Therefore, BBVA is the sole production bank-file scope. Actual UMA BBVA supplier-payment TXT samples are available for PEN and USD and confirm that the current BBVA demo adapter is structurally incompatible with the real fixed-width format. The BCP, Interbank and Scotiabank generators are out of scope for production and should be disabled or removed from the operational UI/configuration to avoid accidental use.</w:t>
      </w:r>
    </w:p>
    <w:p>
      <w:pPr>
        <w:pStyle w:val="ListBullet"/>
        <w:spacing w:before="0" w:after="40" w:line="259" w:lineRule="auto"/>
        <w:ind w:left="317" w:hanging="173"/>
      </w:pPr>
      <w:r>
        <w:rPr>
          <w:rFonts w:ascii="Arial" w:hAnsi="Arial"/>
          <w:color w:val="172033"/>
          <w:sz w:val="20"/>
        </w:rPr>
        <w:t>Budget-exception decisions are currently authorized for Admin/Budget roles, while the SRS states extraordinary approval by Rectorate / General Management.</w:t>
      </w:r>
    </w:p>
    <w:p>
      <w:pPr>
        <w:pStyle w:val="ListBullet"/>
        <w:spacing w:before="0" w:after="40" w:line="259" w:lineRule="auto"/>
        <w:ind w:left="317" w:hanging="173"/>
      </w:pPr>
      <w:r>
        <w:rPr>
          <w:rFonts w:ascii="Arial" w:hAnsi="Arial"/>
          <w:color w:val="172033"/>
          <w:sz w:val="20"/>
        </w:rPr>
        <w:t>SIRE export is currently request-based; multi-invoice purchase-order flows should ultimately be voucher/invoice-based.</w:t>
      </w:r>
    </w:p>
    <w:p>
      <w:pPr>
        <w:pStyle w:val="ListBullet"/>
        <w:spacing w:before="0" w:after="40" w:line="259" w:lineRule="auto"/>
        <w:ind w:left="317" w:hanging="173"/>
      </w:pPr>
      <w:r>
        <w:rPr>
          <w:rFonts w:ascii="Arial" w:hAnsi="Arial"/>
          <w:color w:val="172033"/>
          <w:sz w:val="20"/>
        </w:rPr>
        <w:t>Approval SLA deadlines are calculated and displayed, but an automatic recurring overdue-alert process is not evident in the current backend.</w:t>
      </w:r>
    </w:p>
    <w:p>
      <w:pPr>
        <w:pStyle w:val="ListBullet"/>
        <w:spacing w:before="0" w:after="40" w:line="259" w:lineRule="auto"/>
        <w:ind w:left="317" w:hanging="173"/>
      </w:pPr>
      <w:r>
        <w:rPr>
          <w:rFonts w:ascii="Aptos" w:hAnsi="Aptos"/>
          <w:sz w:val="19"/>
        </w:rPr>
        <w:t>For A1/A2 multi-invoice purchase orders, per-invoice payment states already exist, but the parent request needs a formal dependent-status policy. Recommended approach: the parent status advances only when all active child obligations reach the milestone, while partial progress is derived and displayed separately rather than persisted as a conflicting core state.</w:t>
      </w:r>
    </w:p>
    <w:p>
      <w:pPr>
        <w:pStyle w:val="Heading2"/>
        <w:keepNext/>
        <w:spacing w:before="180" w:after="80"/>
      </w:pPr>
      <w:r>
        <w:rPr>
          <w:rFonts w:ascii="Arial" w:hAnsi="Arial"/>
          <w:b/>
          <w:color w:val="007FFF"/>
          <w:sz w:val="24"/>
        </w:rPr>
        <w:t>Source Hierarchy Used for This Assessment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8"/>
              </w:rPr>
              <w:t>Source</w:t>
            </w:r>
          </w:p>
        </w:tc>
        <w:tc>
          <w:tcPr>
            <w:tcW w:type="dxa" w:w="6192"/>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8"/>
              </w:rPr>
              <w:t>How it is used</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SRS v1.0 - August 2026</w:t>
            </w:r>
          </w:p>
        </w:tc>
        <w:tc>
          <w:tcPr>
            <w:tcW w:type="dxa" w:w="6192"/>
            <w:tcMar>
              <w:top w:w="95" w:type="dxa"/>
              <w:start w:w="100" w:type="dxa"/>
              <w:bottom w:w="95" w:type="dxa"/>
              <w:end w:w="100" w:type="dxa"/>
            </w:tcMar>
            <w:vAlign w:val="center"/>
          </w:tcPr>
          <w:p>
            <w:pPr>
              <w:spacing w:before="0" w:after="0" w:line="247" w:lineRule="auto"/>
              <w:jc w:val="left"/>
            </w:pPr>
            <w:r>
              <w:rPr>
                <w:rFonts w:ascii="Arial" w:hAnsi="Arial"/>
                <w:color w:val="172033"/>
                <w:sz w:val="18"/>
              </w:rPr>
              <w:t>Primary business workflow, module scope, roles, states, budget commitment, Treasury and reporting baseline.</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FPD assumptions document</w:t>
            </w:r>
          </w:p>
        </w:tc>
        <w:tc>
          <w:tcPr>
            <w:tcW w:type="dxa" w:w="619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Accounting/SUNAT assumptions, CeCo + expense-type controls, period closing, XML immutability, multicurrency, supplier uniqueness, Entrega a Rendir and data structure.</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Current frontend/backend codebase</w:t>
            </w:r>
          </w:p>
        </w:tc>
        <w:tc>
          <w:tcPr>
            <w:tcW w:type="dxa" w:w="6192"/>
            <w:tcMar>
              <w:top w:w="95" w:type="dxa"/>
              <w:start w:w="100" w:type="dxa"/>
              <w:bottom w:w="95" w:type="dxa"/>
              <w:end w:w="100" w:type="dxa"/>
            </w:tcMar>
            <w:vAlign w:val="center"/>
          </w:tcPr>
          <w:p>
            <w:pPr>
              <w:spacing w:before="0" w:after="0" w:line="247" w:lineRule="auto"/>
              <w:jc w:val="left"/>
            </w:pPr>
            <w:r>
              <w:rPr>
                <w:rFonts w:ascii="Arial" w:hAnsi="Arial"/>
                <w:color w:val="172033"/>
                <w:sz w:val="18"/>
              </w:rPr>
              <w:t>Actual implemented behavior, roles, routes, state transitions, UI workspaces and technical limitations.</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Centro de Costo - Tesoreria.xlsx</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Operational master-data source for employee-to-CeCo, area and organic-unit assignment. Used to replace/validate demo Cost Center records and define the user default-CeCo import requirement; it does not contain budget amounts or expense-account mappings.</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UMA BBVA supplier-payment TXT samples - PEN &amp; USD (31 Aug 2026 filenames)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Operational evidence of the real BBVA bulk supplier-payment file structure currently uploaded by UMA. Used to define BBVA fixed-width generation and golden-file regression requirements. The samples prove structure and reconciliation behavior, but do not by themselves define the official semantic meaning of every field/constant.</w:t>
            </w:r>
          </w:p>
        </w:tc>
      </w:tr>
    </w:tbl>
    <w:p>
      <w:pPr>
        <w:spacing w:after="20"/>
      </w:pPr>
    </w:p>
    <w:p>
      <w:pPr>
        <w:pStyle w:val="Heading1"/>
        <w:keepNext/>
        <w:spacing w:before="240" w:after="120"/>
      </w:pPr>
      <w:r>
        <w:rPr>
          <w:rFonts w:ascii="Arial" w:hAnsi="Arial"/>
          <w:b/>
          <w:color w:val="0A3D62"/>
          <w:sz w:val="30"/>
        </w:rPr>
        <w:t>2. Existing System Features</w:t>
      </w:r>
    </w:p>
    <w:p>
      <w:pPr>
        <w:spacing w:before="0" w:after="100" w:line="259" w:lineRule="auto"/>
      </w:pPr>
      <w:r>
        <w:rPr>
          <w:rFonts w:ascii="Arial" w:hAnsi="Arial"/>
          <w:color w:val="172033"/>
          <w:sz w:val="21"/>
        </w:rPr>
        <w:t>The following feature inventory describes what the current codebase already provides. “Implemented” means the capability exists; it does not automatically mean every rule is production-certified or perfectly aligned with the documents.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7"/>
              </w:rPr>
              <w:t>Domain</w:t>
            </w:r>
          </w:p>
        </w:tc>
        <w:tc>
          <w:tcPr>
            <w:tcW w:type="dxa" w:w="5688"/>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7"/>
              </w:rPr>
              <w:t>Current capability</w:t>
            </w:r>
          </w:p>
        </w:tc>
        <w:tc>
          <w:tcPr>
            <w:tcW w:type="dxa" w:w="1368"/>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7"/>
              </w:rPr>
              <w:t>Assessment</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CAPEX/OPEX Requests</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Create/edit requests; automatic request identity; request type, flow type, priority, area, CeCo, project, expense nature, currency, amounts, supplier, quotations, attachments and lifecycle tracking.</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Request Tracks</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A1 standard procurement request, A2 invoice processing against an approved purchase order, B direct-payment track, and C Entrega a Rendir/advance track.</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Supplier Master</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RUC/DNI-based supplier records, legal/tax data, contacts, documents, homologation status, bank accounts, preferred destination and bank-account history.</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SUNAT / Fiscal Validation</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SUNAT-related services, XML validation metadata, fiscal vouchers and duplicate-document controls.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Document &amp; Quotation Controls</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Three-quotation policy, quotation comparison, supplier selection justification, attachments and configurable DocumentRule model.</w:t>
            </w:r>
          </w:p>
        </w:tc>
        <w:tc>
          <w:tcPr>
            <w:tcW w:type="dxa" w:w="1368"/>
            <w:tcMar>
              <w:top w:w="95" w:type="dxa"/>
              <w:start w:w="100" w:type="dxa"/>
              <w:bottom w:w="95" w:type="dxa"/>
              <w:end w:w="100" w:type="dxa"/>
            </w:tcMar>
            <w:vAlign w:val="center"/>
            <w:shd w:fill="FFF4E5"/>
          </w:tcPr>
          <w:p>
            <w:pPr>
              <w:spacing w:before="0" w:after="0" w:line="247" w:lineRule="auto"/>
              <w:jc w:val="center"/>
            </w:pPr>
            <w:r>
              <w:rPr>
                <w:rFonts w:ascii="Arial" w:hAnsi="Arial"/>
                <w:color w:val="172033"/>
                <w:sz w:val="17"/>
              </w:rPr>
            </w:r>
            <w:r>
              <w:rPr>
                <w:rFonts w:ascii="Arial" w:hAnsi="Arial"/>
                <w:b/>
                <w:color w:val="B45309"/>
                <w:sz w:val="17"/>
              </w:rPr>
              <w:t>ALIGNMENT REQUIRED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Approval Workflow</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Director / Vice Rector and configurable approval rules, actions Approve/Observe/Return/Reject, approval route snapshot and SLA due dates.</w:t>
            </w:r>
          </w:p>
        </w:tc>
        <w:tc>
          <w:tcPr>
            <w:tcW w:type="dxa" w:w="1368"/>
            <w:tcMar>
              <w:top w:w="95" w:type="dxa"/>
              <w:start w:w="100" w:type="dxa"/>
              <w:bottom w:w="95" w:type="dxa"/>
              <w:end w:w="100" w:type="dxa"/>
            </w:tcMar>
            <w:vAlign w:val="center"/>
            <w:shd w:fill="FFF4E5"/>
          </w:tcPr>
          <w:p>
            <w:pPr>
              <w:spacing w:before="0" w:after="0" w:line="247" w:lineRule="auto"/>
              <w:jc w:val="center"/>
            </w:pPr>
            <w:r>
              <w:rPr>
                <w:rFonts w:ascii="Arial" w:hAnsi="Arial"/>
                <w:color w:val="172033"/>
                <w:sz w:val="17"/>
              </w:rPr>
            </w:r>
            <w:r>
              <w:rPr>
                <w:rFonts w:ascii="Arial" w:hAnsi="Arial"/>
                <w:b/>
                <w:color w:val="B45309"/>
                <w:sz w:val="17"/>
              </w:rPr>
              <w:t>ALIGNMENT REQUIRED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Budget Control</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Budget plans/allocations, preview, commitment/reservation, exceptions, adjustments, release/rollback and procurement-order readiness.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Procurement / Purchase Orders</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Purchase-order readiness and issuance for approved procurement flows; A2 batch invoice workspace linked to approved POs.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Accounting</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Accounting processing, journal generation, accounting dimensions, voucher/fiscal data, CXP creation and month-end consolidation.</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Accounting Periods</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Open/close controls, blockers, consolidation checks and restrictions for controlled financial mutations.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Accounts Payable</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CXP records, due dates/payment terms, outstanding balances, statuses, supplier snapshots and Treasury handoff.</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Treasury</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Queue, scheduling, payment destination freeze, payment batches, bank-file generation, payment confirmation, bounced-payment handling and reconciliation.</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Bank TXT</w:t>
            </w:r>
          </w:p>
        </w:tc>
        <w:tc>
          <w:tcPr>
            <w:tcW w:type="dxa" w:w="5688"/>
            <w:tcMar>
              <w:top w:w="95" w:type="dxa"/>
              <w:start w:w="100" w:type="dxa"/>
              <w:bottom w:w="95" w:type="dxa"/>
              <w:end w:w="100" w:type="dxa"/>
            </w:tcMar>
            <w:vAlign w:val="center"/>
          </w:tcPr>
          <w:p>
            <w:r/>
            <w:r>
              <w:t>Adapters/configuration currently exist for BBVA, BCP, Interbank and Scotiabank, but UMA has confirmed that Treasury outgoing payments are made from BBVA only. BBVA is therefore the only required production bank-file generator. Actual UMA PEN/USD upload samples are available; however, the current BbvaBankFileAdapter still uses the generic semicolon-delimited demo format and does not match the supplied fixed-width files. The other bank adapters should be disabled/deprecated for production use.</w:t>
            </w:r>
          </w:p>
        </w:tc>
        <w:tc>
          <w:tcPr>
            <w:tcW w:type="dxa" w:w="1368"/>
            <w:tcMar>
              <w:top w:w="95" w:type="dxa"/>
              <w:start w:w="100" w:type="dxa"/>
              <w:bottom w:w="95" w:type="dxa"/>
              <w:end w:w="100" w:type="dxa"/>
            </w:tcMar>
            <w:vAlign w:val="center"/>
            <w:shd w:fill="FDECEC"/>
          </w:tcPr>
          <w:p>
            <w:r>
              <w:t>ALIGNMENT REQUIRED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Multicurrency</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PEN/USD handling, exchange-rate records, source metadata and PEN-equivalent values.</w:t>
            </w:r>
          </w:p>
        </w:tc>
        <w:tc>
          <w:tcPr>
            <w:tcW w:type="dxa" w:w="1368"/>
            <w:tcMar>
              <w:top w:w="95" w:type="dxa"/>
              <w:start w:w="100" w:type="dxa"/>
              <w:bottom w:w="95" w:type="dxa"/>
              <w:end w:w="100" w:type="dxa"/>
            </w:tcMar>
            <w:vAlign w:val="center"/>
            <w:shd w:fill="FFF4E5"/>
          </w:tcPr>
          <w:p>
            <w:pPr>
              <w:spacing w:before="0" w:after="0" w:line="247" w:lineRule="auto"/>
              <w:jc w:val="center"/>
            </w:pPr>
            <w:r>
              <w:rPr>
                <w:rFonts w:ascii="Arial" w:hAnsi="Arial"/>
                <w:color w:val="172033"/>
                <w:sz w:val="17"/>
              </w:rPr>
            </w:r>
            <w:r>
              <w:rPr>
                <w:rFonts w:ascii="Arial" w:hAnsi="Arial"/>
                <w:b/>
                <w:color w:val="B45309"/>
                <w:sz w:val="17"/>
              </w:rPr>
              <w:t>ALIGNMENT REQUIRED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SIRE / RCE</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Preview and CSV export with validation and export history; no direct SUNAT submission configured.</w:t>
            </w:r>
          </w:p>
        </w:tc>
        <w:tc>
          <w:tcPr>
            <w:tcW w:type="dxa" w:w="1368"/>
            <w:tcMar>
              <w:top w:w="95" w:type="dxa"/>
              <w:start w:w="100" w:type="dxa"/>
              <w:bottom w:w="95" w:type="dxa"/>
              <w:end w:w="100" w:type="dxa"/>
            </w:tcMar>
            <w:vAlign w:val="center"/>
            <w:shd w:fill="FFF4E5"/>
          </w:tcPr>
          <w:p>
            <w:pPr>
              <w:spacing w:before="0" w:after="0" w:line="247" w:lineRule="auto"/>
              <w:jc w:val="center"/>
            </w:pPr>
            <w:r>
              <w:rPr>
                <w:rFonts w:ascii="Arial" w:hAnsi="Arial"/>
                <w:color w:val="172033"/>
                <w:sz w:val="17"/>
              </w:rPr>
            </w:r>
            <w:r>
              <w:rPr>
                <w:rFonts w:ascii="Arial" w:hAnsi="Arial"/>
                <w:b/>
                <w:color w:val="B45309"/>
                <w:sz w:val="17"/>
              </w:rPr>
              <w:t>ALIGNMENT REQUIRED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Entrega a Rendir</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Advance workflow, rendition due date, official evidence, accounting review and non-deductible/employee-balance handling.</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Employee Reimbursement Banking</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Employee payment-destination/banking workspace used for reimbursements and advances.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Audit</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Audit records tied to workflow/module actions; protected audit-view workspace.</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tcPr>
          <w:p>
            <w:pPr>
              <w:spacing w:before="0" w:after="0" w:line="247" w:lineRule="auto"/>
              <w:jc w:val="left"/>
            </w:pPr>
            <w:r>
              <w:rPr>
                <w:rFonts w:ascii="Arial" w:hAnsi="Arial"/>
                <w:color w:val="172033"/>
                <w:sz w:val="17"/>
              </w:rPr>
              <w:t>Dashboards &amp; Reports</w:t>
            </w:r>
          </w:p>
        </w:tc>
        <w:tc>
          <w:tcPr>
            <w:tcW w:type="dxa" w:w="5688"/>
            <w:tcMar>
              <w:top w:w="95" w:type="dxa"/>
              <w:start w:w="100" w:type="dxa"/>
              <w:bottom w:w="95" w:type="dxa"/>
              <w:end w:w="100" w:type="dxa"/>
            </w:tcMar>
            <w:vAlign w:val="center"/>
          </w:tcPr>
          <w:p>
            <w:pPr>
              <w:spacing w:before="0" w:after="0" w:line="247" w:lineRule="auto"/>
              <w:jc w:val="left"/>
            </w:pPr>
            <w:r>
              <w:rPr>
                <w:rFonts w:ascii="Arial" w:hAnsi="Arial"/>
                <w:color w:val="172033"/>
                <w:sz w:val="17"/>
              </w:rPr>
              <w:t>Role-sensitive dashboards, management reports, overdue approvals, payables, budget and financial indicators.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Master Data &amp; Security</w:t>
            </w:r>
          </w:p>
        </w:tc>
        <w:tc>
          <w:tcPr>
            <w:tcW w:type="dxa" w:w="5688"/>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7"/>
              </w:rPr>
              <w:t>Users, roles, cost centers, expense types, projects, exchange rates, approval rules, budget rules and protected routes.</w:t>
            </w:r>
          </w:p>
        </w:tc>
        <w:tc>
          <w:tcPr>
            <w:tcW w:type="dxa" w:w="1368"/>
            <w:tcMar>
              <w:top w:w="95" w:type="dxa"/>
              <w:start w:w="100" w:type="dxa"/>
              <w:bottom w:w="95" w:type="dxa"/>
              <w:end w:w="100" w:type="dxa"/>
            </w:tcMar>
            <w:vAlign w:val="center"/>
            <w:shd w:fill="EAF7EE"/>
          </w:tcPr>
          <w:p>
            <w:pPr>
              <w:spacing w:before="0" w:after="0" w:line="247" w:lineRule="auto"/>
              <w:jc w:val="center"/>
            </w:pPr>
            <w:r>
              <w:rPr>
                <w:rFonts w:ascii="Arial" w:hAnsi="Arial"/>
                <w:color w:val="172033"/>
                <w:sz w:val="17"/>
              </w:rPr>
            </w:r>
            <w:r>
              <w:rPr>
                <w:rFonts w:ascii="Arial" w:hAnsi="Arial"/>
                <w:b/>
                <w:color w:val="15803D"/>
                <w:sz w:val="17"/>
              </w:rPr>
              <w:t>IMPLEMENTED</w:t>
            </w:r>
          </w:p>
        </w:tc>
      </w:tr>
      <w:tr>
        <w:tc>
          <w:tcPr>
            <w:tcW w:type="dxa" w:w="2232"/>
            <w:tcMar>
              <w:top w:w="95" w:type="dxa"/>
              <w:start w:w="100" w:type="dxa"/>
              <w:bottom w:w="95" w:type="dxa"/>
              <w:end w:w="100" w:type="dxa"/>
            </w:tcMar>
            <w:vAlign w:val="center"/>
            <w:shd w:fill="FAFCFE"/>
          </w:tcPr>
          <w:p>
            <w:pPr>
              <w:spacing w:before="0" w:after="0" w:line="247" w:lineRule="auto"/>
              <w:jc w:val="left"/>
            </w:pPr>
            <w:pPr>
              <w:jc w:val="left"/>
            </w:pPr>
            <w:r>
              <w:rPr>
                <w:rFonts w:ascii="Arial" w:hAnsi="Arial"/>
                <w:color w:val="172033"/>
                <w:sz w:val="17"/>
              </w:rPr>
              <w:t>Cost Center &amp; User Assignment</w:t>
            </w:r>
          </w:p>
        </w:tc>
        <w:tc>
          <w:tcPr>
            <w:tcW w:type="dxa" w:w="5688"/>
            <w:tcMar>
              <w:top w:w="95" w:type="dxa"/>
              <w:start w:w="100" w:type="dxa"/>
              <w:bottom w:w="95" w:type="dxa"/>
              <w:end w:w="100" w:type="dxa"/>
            </w:tcMar>
            <w:vAlign w:val="center"/>
            <w:shd w:fill="FAFCFE"/>
          </w:tcPr>
          <w:p>
            <w:pPr>
              <w:spacing w:before="0" w:after="0" w:line="247" w:lineRule="auto"/>
              <w:jc w:val="left"/>
            </w:pPr>
            <w:pPr>
              <w:jc w:val="left"/>
            </w:pPr>
            <w:r>
              <w:rPr>
                <w:rFonts w:ascii="Arial" w:hAnsi="Arial"/>
                <w:color w:val="172033"/>
                <w:sz w:val="17"/>
              </w:rPr>
              <w:t>Backend already supports CostCenter master records plus User.costCenter and User.authorizedCostCenters. The Treasury workbook provides 153 employee assignments across 39 CeCos and 11 organic-unit codes, but the reviewed database backup currently contains only 6 generic/demo cost centers.</w:t>
            </w:r>
          </w:p>
        </w:tc>
        <w:tc>
          <w:tcPr>
            <w:tcW w:type="dxa" w:w="1368"/>
            <w:tcMar>
              <w:top w:w="95" w:type="dxa"/>
              <w:start w:w="100" w:type="dxa"/>
              <w:bottom w:w="95" w:type="dxa"/>
              <w:end w:w="100" w:type="dxa"/>
            </w:tcMar>
            <w:vAlign w:val="center"/>
            <w:shd w:fill="EAF7EE"/>
          </w:tcPr>
          <w:p>
            <w:pPr>
              <w:spacing w:before="0" w:after="0" w:line="247" w:lineRule="auto"/>
              <w:jc w:val="center"/>
            </w:pPr>
            <w:pPr>
              <w:jc w:val="center"/>
            </w:pPr>
            <w:r>
              <w:rPr>
                <w:rFonts w:ascii="Arial" w:hAnsi="Arial"/>
                <w:color w:val="172033"/>
                <w:sz w:val="17"/>
              </w:rPr>
              <w:t>ALIGNMENT REQUIRED</w:t>
            </w:r>
          </w:p>
        </w:tc>
      </w:tr>
    </w:tbl>
    <w:p>
      <w:pPr>
        <w:spacing w:after="20"/>
      </w:pPr>
    </w:p>
    <w:p>
      <w:pPr>
        <w:pStyle w:val="Heading2"/>
        <w:keepNext/>
        <w:spacing w:before="180" w:after="80"/>
      </w:pPr>
      <w:r>
        <w:rPr>
          <w:rFonts w:ascii="Arial" w:hAnsi="Arial"/>
          <w:b/>
          <w:color w:val="007FFF"/>
          <w:sz w:val="24"/>
        </w:rPr>
        <w:t>Frontend Workspaces Already Present</w:t>
      </w:r>
    </w:p>
    <w:p>
      <w:pPr>
        <w:spacing w:before="0" w:after="100" w:line="259" w:lineRule="auto"/>
      </w:pPr>
      <w:r>
        <w:rPr>
          <w:rFonts w:ascii="Arial" w:hAnsi="Arial"/>
          <w:color w:val="172033"/>
          <w:sz w:val="21"/>
        </w:rPr>
        <w:t>The React frontend already exposes dedicated pages/workspaces for the main operational roles, including:</w:t>
      </w:r>
    </w:p>
    <w:p>
      <w:pPr>
        <w:pStyle w:val="ListBullet"/>
        <w:spacing w:before="0" w:after="40" w:line="259" w:lineRule="auto"/>
        <w:ind w:left="317" w:hanging="173"/>
      </w:pPr>
      <w:r>
        <w:rPr>
          <w:rFonts w:ascii="Arial" w:hAnsi="Arial"/>
          <w:color w:val="172033"/>
          <w:sz w:val="20"/>
        </w:rPr>
        <w:t>Dashboard, Requests, Request Create/Edit and Request Detail</w:t>
      </w:r>
    </w:p>
    <w:p>
      <w:pPr>
        <w:pStyle w:val="ListBullet"/>
        <w:spacing w:before="0" w:after="40" w:line="259" w:lineRule="auto"/>
        <w:ind w:left="317" w:hanging="173"/>
      </w:pPr>
      <w:r>
        <w:rPr>
          <w:rFonts w:ascii="Arial" w:hAnsi="Arial"/>
          <w:color w:val="172033"/>
          <w:sz w:val="20"/>
        </w:rPr>
        <w:t>Approval Inbox</w:t>
      </w:r>
    </w:p>
    <w:p>
      <w:pPr>
        <w:pStyle w:val="ListBullet"/>
        <w:spacing w:before="0" w:after="40" w:line="259" w:lineRule="auto"/>
        <w:ind w:left="317" w:hanging="173"/>
      </w:pPr>
      <w:r>
        <w:rPr>
          <w:rFonts w:ascii="Arial" w:hAnsi="Arial"/>
          <w:color w:val="172033"/>
          <w:sz w:val="20"/>
        </w:rPr>
        <w:t>Bulk Invoice Upload and Invoice Observations</w:t>
      </w:r>
    </w:p>
    <w:p>
      <w:pPr>
        <w:pStyle w:val="ListBullet"/>
        <w:spacing w:before="0" w:after="40" w:line="259" w:lineRule="auto"/>
        <w:ind w:left="317" w:hanging="173"/>
      </w:pPr>
      <w:r>
        <w:rPr>
          <w:rFonts w:ascii="Arial" w:hAnsi="Arial"/>
          <w:color w:val="172033"/>
          <w:sz w:val="20"/>
        </w:rPr>
        <w:t>Accounting Entries, Accounts Payable, Accounting Periods and SIRE Export</w:t>
      </w:r>
    </w:p>
    <w:p>
      <w:pPr>
        <w:pStyle w:val="ListBullet"/>
        <w:spacing w:before="0" w:after="40" w:line="259" w:lineRule="auto"/>
        <w:ind w:left="317" w:hanging="173"/>
      </w:pPr>
      <w:r>
        <w:rPr>
          <w:rFonts w:ascii="Arial" w:hAnsi="Arial"/>
          <w:color w:val="172033"/>
          <w:sz w:val="20"/>
        </w:rPr>
        <w:t>Treasury Queue</w:t>
      </w:r>
    </w:p>
    <w:p>
      <w:pPr>
        <w:pStyle w:val="ListBullet"/>
        <w:spacing w:before="0" w:after="40" w:line="259" w:lineRule="auto"/>
        <w:ind w:left="317" w:hanging="173"/>
      </w:pPr>
      <w:r>
        <w:rPr>
          <w:rFonts w:ascii="Arial" w:hAnsi="Arial"/>
          <w:color w:val="172033"/>
          <w:sz w:val="20"/>
        </w:rPr>
        <w:t>Budget Control</w:t>
      </w:r>
    </w:p>
    <w:p>
      <w:pPr>
        <w:pStyle w:val="ListBullet"/>
        <w:spacing w:before="0" w:after="40" w:line="259" w:lineRule="auto"/>
        <w:ind w:left="317" w:hanging="173"/>
      </w:pPr>
      <w:r>
        <w:rPr>
          <w:rFonts w:ascii="Arial" w:hAnsi="Arial"/>
          <w:color w:val="172033"/>
          <w:sz w:val="20"/>
        </w:rPr>
        <w:t>Suppliers</w:t>
      </w:r>
    </w:p>
    <w:p>
      <w:pPr>
        <w:pStyle w:val="ListBullet"/>
        <w:spacing w:before="0" w:after="40" w:line="259" w:lineRule="auto"/>
        <w:ind w:left="317" w:hanging="173"/>
      </w:pPr>
      <w:r>
        <w:rPr>
          <w:rFonts w:ascii="Arial" w:hAnsi="Arial"/>
          <w:color w:val="172033"/>
          <w:sz w:val="20"/>
        </w:rPr>
        <w:t>Employee Reimbursement Banking</w:t>
      </w:r>
    </w:p>
    <w:p>
      <w:pPr>
        <w:pStyle w:val="ListBullet"/>
        <w:spacing w:before="0" w:after="40" w:line="259" w:lineRule="auto"/>
        <w:ind w:left="317" w:hanging="173"/>
      </w:pPr>
      <w:r>
        <w:rPr>
          <w:rFonts w:ascii="Arial" w:hAnsi="Arial"/>
          <w:color w:val="172033"/>
          <w:sz w:val="20"/>
        </w:rPr>
        <w:t>Management Reports and Audit Viewer</w:t>
      </w:r>
    </w:p>
    <w:p>
      <w:pPr>
        <w:pStyle w:val="ListBullet"/>
        <w:spacing w:before="0" w:after="40" w:line="259" w:lineRule="auto"/>
        <w:ind w:left="317" w:hanging="173"/>
      </w:pPr>
      <w:r>
        <w:rPr>
          <w:rFonts w:ascii="Arial" w:hAnsi="Arial"/>
          <w:color w:val="172033"/>
          <w:sz w:val="20"/>
        </w:rPr>
        <w:t>Cost Centers, Expense Types, Exchange Rates, Users and Master Configuration</w:t>
      </w:r>
    </w:p>
    <w:p>
      <w:pPr>
        <w:pStyle w:val="Heading1"/>
        <w:keepNext/>
        <w:spacing w:before="240" w:after="120"/>
      </w:pPr>
      <w:r>
        <w:rPr>
          <w:rFonts w:ascii="Arial" w:hAnsi="Arial"/>
          <w:b/>
          <w:color w:val="0A3D62"/>
          <w:sz w:val="30"/>
        </w:rPr>
        <w:t>3. Current Implemented Workflows</w:t>
      </w:r>
    </w:p>
    <w:tbl>
      <w:tblPr>
        <w:tblW w:type="auto" w:w="0"/>
        <w:jc w:val="center"/>
        <w:tblLook w:firstColumn="1" w:firstRow="1" w:lastColumn="0" w:lastRow="0" w:noHBand="0" w:noVBand="1" w:val="04A0"/>
      </w:tblPr>
      <w:tblGrid>
        <w:gridCol w:w="9994"/>
      </w:tblGrid>
      <w:tr>
        <w:tc>
          <w:tcPr>
            <w:tcW w:type="dxa" w:w="9994"/>
            <w:shd w:fill="F3E8FF"/>
            <w:tcBorders>
              <w:top w:sz="4" w:val="single" w:color="F3E8FF"/>
              <w:left w:sz="22" w:val="single" w:color="6D28D9"/>
              <w:bottom w:sz="4" w:val="single" w:color="F3E8FF"/>
              <w:right w:sz="4" w:val="single" w:color="F3E8FF"/>
            </w:tcBorders>
            <w:tcMar>
              <w:top w:w="140" w:type="dxa"/>
              <w:start w:w="180" w:type="dxa"/>
              <w:bottom w:w="140" w:type="dxa"/>
              <w:end w:w="180" w:type="dxa"/>
            </w:tcMar>
          </w:tcPr>
          <w:p>
            <w:pPr>
              <w:spacing w:before="0" w:after="40" w:line="259" w:lineRule="auto"/>
            </w:pPr>
            <w:r>
              <w:rPr>
                <w:rFonts w:ascii="Arial" w:hAnsi="Arial"/>
                <w:b/>
                <w:color w:val="6D28D9"/>
                <w:sz w:val="21"/>
              </w:rPr>
              <w:t>Important</w:t>
            </w:r>
          </w:p>
          <w:p>
            <w:pPr>
              <w:spacing w:before="0" w:after="0" w:line="259" w:lineRule="auto"/>
            </w:pPr>
            <w:r>
              <w:rPr>
                <w:rFonts w:ascii="Arial" w:hAnsi="Arial"/>
                <w:color w:val="172033"/>
                <w:sz w:val="19"/>
              </w:rPr>
              <w:t>The FPD/SRS describe one institutional workflow. The current codebase extends it with four technical/business tracks (A1, A2, B and C). These tracks are useful, but their official definitions and approval policies should be formally confirmed by UMA.</w:t>
            </w:r>
          </w:p>
        </w:tc>
      </w:tr>
    </w:tbl>
    <w:p>
      <w:pPr>
        <w:spacing w:after="20"/>
      </w:pPr>
    </w:p>
    <w:p>
      <w:pPr>
        <w:pStyle w:val="Heading2"/>
        <w:keepNext/>
        <w:spacing w:before="180" w:after="80"/>
      </w:pPr>
      <w:r>
        <w:rPr>
          <w:rFonts w:ascii="Arial" w:hAnsi="Arial"/>
          <w:b/>
          <w:color w:val="007FFF"/>
          <w:sz w:val="24"/>
        </w:rPr>
        <w:t>3.1 Track A1 - Standard Procurement / CAPEX-OPEX Request</w:t>
      </w:r>
    </w:p>
    <w:tbl>
      <w:tblPr>
        <w:tblW w:type="auto" w:w="0"/>
        <w:jc w:val="center"/>
        <w:tblLayout w:type="fixed"/>
        <w:tblLook w:firstColumn="1" w:firstRow="1" w:lastColumn="0" w:lastRow="0" w:noHBand="0" w:noVBand="1" w:val="04A0"/>
      </w:tblPr>
      <w:tblGrid>
        <w:gridCol w:w="9994"/>
      </w:tblGrid>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Create request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3-quotation / request validation</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Director approval</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Vice Rector approval</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Budget commitment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Purchase Order / procurement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Invoice registration + SUNAT checks</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Accounting + CXP</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Treasury schedule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TXT generated</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Real payment confirmation</w:t>
            </w:r>
          </w:p>
        </w:tc>
      </w:tr>
      <w:tr>
        <w:tc>
          <w:tcPr>
            <w:tcW w:type="dxa" w:w="9994"/>
          </w:tcPr>
          <w:p>
            <w:pPr>
              <w:jc w:val="center"/>
            </w:pPr>
            <w:r>
              <w:rPr>
                <w:rFonts w:ascii="Arial" w:hAnsi="Arial"/>
                <w:b/>
                <w:color w:val="007FFF"/>
                <w:sz w:val="26"/>
              </w:rPr>
              <w:t>↓</w:t>
            </w:r>
          </w:p>
        </w:tc>
      </w:tr>
      <w:tr>
        <w:tc>
          <w:tcPr>
            <w:tcW w:type="dxa" w:w="8424"/>
            <w:shd w:fill="EAF7EE"/>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15803D"/>
                <w:sz w:val="19"/>
              </w:rPr>
              <w:t>Reconciliation / close</w:t>
            </w:r>
          </w:p>
        </w:tc>
      </w:tr>
    </w:tbl>
    <w:p>
      <w:pPr>
        <w:spacing w:after="20"/>
      </w:pPr>
    </w:p>
    <w:p>
      <w:pPr>
        <w:spacing w:before="0" w:after="100" w:line="259" w:lineRule="auto"/>
      </w:pPr>
      <w:r>
        <w:rPr>
          <w:rFonts w:ascii="Arial" w:hAnsi="Arial"/>
          <w:color w:val="172033"/>
          <w:sz w:val="21"/>
        </w:rPr>
        <w:t>This is the closest match to the full SRS procurement workflow. The major alignment need is to enforce document requirements by business phase rather than only by flow type.</w:t>
      </w:r>
    </w:p>
    <w:p>
      <w:pPr>
        <w:pStyle w:val="Heading2"/>
        <w:keepNext/>
        <w:spacing w:before="180" w:after="80"/>
      </w:pPr>
      <w:r>
        <w:rPr>
          <w:rFonts w:ascii="Arial" w:hAnsi="Arial"/>
          <w:b/>
          <w:color w:val="007FFF"/>
          <w:sz w:val="24"/>
        </w:rPr>
        <w:t>3.2 Track A2 - Batch Invoices Against an Approved Purchase Order</w:t>
      </w:r>
    </w:p>
    <w:tbl>
      <w:tblPr>
        <w:tblW w:type="auto" w:w="0"/>
        <w:jc w:val="center"/>
        <w:tblLayout w:type="fixed"/>
        <w:tblLook w:firstColumn="1" w:firstRow="1" w:lastColumn="0" w:lastRow="0" w:noHBand="0" w:noVBand="1" w:val="04A0"/>
      </w:tblPr>
      <w:tblGrid>
        <w:gridCol w:w="9994"/>
      </w:tblGrid>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Approved A1 Purchase Order</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Batch invoice upload</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Invoice/SUNAT validation</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Invoice observation or acceptance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Accounting/CXP per invoice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Treasury per CXP</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Payment / reconciliation per invoice</w:t>
            </w:r>
          </w:p>
        </w:tc>
      </w:tr>
      <w:tr>
        <w:tc>
          <w:tcPr>
            <w:tcW w:type="dxa" w:w="9994"/>
          </w:tcPr>
          <w:p>
            <w:pPr>
              <w:jc w:val="center"/>
            </w:pPr>
            <w:r>
              <w:rPr>
                <w:rFonts w:ascii="Arial" w:hAnsi="Arial"/>
                <w:b/>
                <w:color w:val="007FFF"/>
                <w:sz w:val="26"/>
              </w:rPr>
              <w:t>↓</w:t>
            </w:r>
          </w:p>
        </w:tc>
      </w:tr>
      <w:tr>
        <w:tc>
          <w:tcPr>
            <w:tcW w:type="dxa" w:w="8424"/>
            <w:shd w:fill="EAF7EE"/>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15803D"/>
                <w:sz w:val="19"/>
              </w:rPr>
              <w:t>Aggregate PO/request completion</w:t>
            </w:r>
          </w:p>
        </w:tc>
      </w:tr>
    </w:tbl>
    <w:p>
      <w:pPr>
        <w:spacing w:after="20"/>
      </w:pPr>
    </w:p>
    <w:p>
      <w:pPr>
        <w:spacing w:before="0" w:after="100" w:line="259" w:lineRule="auto"/>
      </w:pPr>
      <w:r>
        <w:rPr>
          <w:rFonts w:ascii="Arial" w:hAnsi="Arial"/>
          <w:color w:val="172033"/>
          <w:sz w:val="21"/>
        </w:rPr>
        <w:t>A2 is more advanced than the original SRS because it supports multiple invoices against one purchase order. This should be retained, but the parent request needs a clear aggregate status rule.</w:t>
      </w:r>
    </w:p>
    <w:p>
      <w:pPr>
        <w:pStyle w:val="Heading2"/>
        <w:keepNext/>
        <w:spacing w:before="180" w:after="80"/>
      </w:pPr>
      <w:r>
        <w:rPr>
          <w:rFonts w:ascii="Arial" w:hAnsi="Arial"/>
          <w:b/>
          <w:color w:val="007FFF"/>
          <w:sz w:val="24"/>
        </w:rPr>
        <w:t>3.3 Track B - Direct Payment</w:t>
      </w:r>
    </w:p>
    <w:tbl>
      <w:tblPr>
        <w:tblW w:type="auto" w:w="0"/>
        <w:jc w:val="center"/>
        <w:tblLayout w:type="fixed"/>
        <w:tblLook w:firstColumn="1" w:firstRow="1" w:lastColumn="0" w:lastRow="0" w:noHBand="0" w:noVBand="1" w:val="04A0"/>
      </w:tblPr>
      <w:tblGrid>
        <w:gridCol w:w="9994"/>
      </w:tblGrid>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Direct-payment request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XML + PDF validation</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Current default: express Director approval</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Automatic provisioning / CXP</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Priority Treasury queue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TXT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Real payment confirmation</w:t>
            </w:r>
          </w:p>
        </w:tc>
      </w:tr>
      <w:tr>
        <w:tc>
          <w:tcPr>
            <w:tcW w:type="dxa" w:w="9994"/>
          </w:tcPr>
          <w:p>
            <w:pPr>
              <w:jc w:val="center"/>
            </w:pPr>
            <w:r>
              <w:rPr>
                <w:rFonts w:ascii="Arial" w:hAnsi="Arial"/>
                <w:b/>
                <w:color w:val="007FFF"/>
                <w:sz w:val="26"/>
              </w:rPr>
              <w:t>↓</w:t>
            </w:r>
          </w:p>
        </w:tc>
      </w:tr>
      <w:tr>
        <w:tc>
          <w:tcPr>
            <w:tcW w:type="dxa" w:w="8424"/>
            <w:shd w:fill="EAF7EE"/>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15803D"/>
                <w:sz w:val="19"/>
              </w:rPr>
              <w:t>Reconciliation / close</w:t>
            </w:r>
          </w:p>
        </w:tc>
      </w:tr>
    </w:tbl>
    <w:p>
      <w:pPr>
        <w:spacing w:after="20"/>
      </w:pPr>
    </w:p>
    <w:tbl>
      <w:tblPr>
        <w:tblW w:type="auto" w:w="0"/>
        <w:jc w:val="center"/>
        <w:tblLook w:firstColumn="1" w:firstRow="1" w:lastColumn="0" w:lastRow="0" w:noHBand="0" w:noVBand="1" w:val="04A0"/>
      </w:tblPr>
      <w:tblGrid>
        <w:gridCol w:w="9994"/>
      </w:tblGrid>
      <w:tr>
        <w:tc>
          <w:tcPr>
            <w:tcW w:type="dxa" w:w="9994"/>
            <w:shd w:fill="FFF4E5"/>
            <w:tcBorders>
              <w:top w:sz="4" w:val="single" w:color="FFF4E5"/>
              <w:left w:sz="22" w:val="single" w:color="B45309"/>
              <w:bottom w:sz="4" w:val="single" w:color="FFF4E5"/>
              <w:right w:sz="4" w:val="single" w:color="FFF4E5"/>
            </w:tcBorders>
            <w:tcMar>
              <w:top w:w="140" w:type="dxa"/>
              <w:start w:w="180" w:type="dxa"/>
              <w:bottom w:w="140" w:type="dxa"/>
              <w:end w:w="180" w:type="dxa"/>
            </w:tcMar>
          </w:tcPr>
          <w:p>
            <w:pPr>
              <w:spacing w:before="0" w:after="40" w:line="259" w:lineRule="auto"/>
            </w:pPr>
            <w:r>
              <w:rPr>
                <w:rFonts w:ascii="Arial" w:hAnsi="Arial"/>
                <w:b/>
                <w:color w:val="B45309"/>
                <w:sz w:val="21"/>
              </w:rPr>
              <w:t>Decision required</w:t>
            </w:r>
          </w:p>
          <w:p>
            <w:pPr>
              <w:spacing w:before="0" w:after="0" w:line="259" w:lineRule="auto"/>
            </w:pPr>
            <w:r>
              <w:rPr>
                <w:rFonts w:ascii="Arial" w:hAnsi="Arial"/>
                <w:color w:val="172033"/>
                <w:sz w:val="19"/>
              </w:rPr>
              <w:t>The current default Track B route intentionally skips Vice Rector unless an explicit B-specific rule is configured. The SRS describes Director → Vice Rector. UMA must confirm whether Track B is an approved exception or the code should be changed to the standard two-level approval route.</w:t>
            </w:r>
          </w:p>
        </w:tc>
      </w:tr>
    </w:tbl>
    <w:p>
      <w:pPr>
        <w:spacing w:after="20"/>
      </w:pPr>
    </w:p>
    <w:p>
      <w:pPr>
        <w:pStyle w:val="Heading2"/>
        <w:keepNext/>
        <w:spacing w:before="180" w:after="80"/>
      </w:pPr>
      <w:r>
        <w:rPr>
          <w:rFonts w:ascii="Arial" w:hAnsi="Arial"/>
          <w:b/>
          <w:color w:val="007FFF"/>
          <w:sz w:val="24"/>
        </w:rPr>
        <w:t>3.4 Track C - Entrega a Rendir / Advance</w:t>
      </w:r>
    </w:p>
    <w:tbl>
      <w:tblPr>
        <w:tblW w:type="auto" w:w="0"/>
        <w:jc w:val="center"/>
        <w:tblLayout w:type="fixed"/>
        <w:tblLook w:firstColumn="1" w:firstRow="1" w:lastColumn="0" w:lastRow="0" w:noHBand="0" w:noVBand="1" w:val="04A0"/>
      </w:tblPr>
      <w:tblGrid>
        <w:gridCol w:w="9994"/>
      </w:tblGrid>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Advance request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Approval route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Advance payment</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RENDICION_PENDIENTE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Employee submits official evidence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Accounting review</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Expense classification / CeCo</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Settle Account 14 / differences</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Budget execution adjustment</w:t>
            </w:r>
          </w:p>
        </w:tc>
      </w:tr>
      <w:tr>
        <w:tc>
          <w:tcPr>
            <w:tcW w:type="dxa" w:w="9994"/>
          </w:tcPr>
          <w:p>
            <w:pPr>
              <w:jc w:val="center"/>
            </w:pPr>
            <w:r>
              <w:rPr>
                <w:rFonts w:ascii="Arial" w:hAnsi="Arial"/>
                <w:b/>
                <w:color w:val="007FFF"/>
                <w:sz w:val="26"/>
              </w:rPr>
              <w:t>↓</w:t>
            </w:r>
          </w:p>
        </w:tc>
      </w:tr>
      <w:tr>
        <w:tc>
          <w:tcPr>
            <w:tcW w:type="dxa" w:w="8424"/>
            <w:shd w:fill="EAF7EE"/>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15803D"/>
                <w:sz w:val="19"/>
              </w:rPr>
              <w:t>Close</w:t>
            </w:r>
          </w:p>
        </w:tc>
      </w:tr>
    </w:tbl>
    <w:p>
      <w:pPr>
        <w:spacing w:after="20"/>
      </w:pPr>
    </w:p>
    <w:p>
      <w:pPr>
        <w:spacing w:before="0" w:after="100" w:line="259" w:lineRule="auto"/>
      </w:pPr>
      <w:r>
        <w:rPr>
          <w:rFonts w:ascii="Arial" w:hAnsi="Arial"/>
          <w:color w:val="172033"/>
          <w:sz w:val="21"/>
        </w:rPr>
        <w:t>This is consistent with the FPD principle that an advance is initially a transit/employee receivable, not an immediate final expense.</w:t>
      </w:r>
    </w:p>
    <w:p>
      <w:pPr>
        <w:pStyle w:val="Heading1"/>
        <w:keepNext/>
        <w:spacing w:before="240" w:after="120"/>
      </w:pPr>
      <w:r>
        <w:rPr>
          <w:rFonts w:ascii="Arial" w:hAnsi="Arial"/>
          <w:b/>
          <w:color w:val="0A3D62"/>
          <w:sz w:val="30"/>
        </w:rPr>
        <w:t>4. Alignment Gaps Between Code and FPD/SRS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blHeader w:val="true"/>
        </w:trPr>
        <w:tc>
          <w:tcPr>
            <w:tcW w:type="dxa" w:w="792"/>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ID</w:t>
            </w:r>
          </w:p>
        </w:tc>
        <w:tc>
          <w:tcPr>
            <w:tcW w:type="dxa" w:w="1944"/>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Area</w:t>
            </w:r>
          </w:p>
        </w:tc>
        <w:tc>
          <w:tcPr>
            <w:tcW w:type="dxa" w:w="540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Observed gap</w:t>
            </w:r>
          </w:p>
        </w:tc>
        <w:tc>
          <w:tcPr>
            <w:tcW w:type="dxa" w:w="180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Impact</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6"/>
              </w:rPr>
              <w:t>G-01</w:t>
            </w:r>
          </w:p>
        </w:tc>
        <w:tc>
          <w:tcPr>
            <w:tcW w:type="dxa" w:w="1944"/>
            <w:tcMar>
              <w:top w:w="80" w:type="dxa"/>
              <w:start w:w="90" w:type="dxa"/>
              <w:bottom w:w="80" w:type="dxa"/>
              <w:end w:w="90" w:type="dxa"/>
            </w:tcMar>
            <w:vAlign w:val="center"/>
          </w:tcPr>
          <w:p>
            <w:pPr>
              <w:spacing w:before="0" w:after="0" w:line="240" w:lineRule="auto"/>
              <w:jc w:val="left"/>
            </w:pPr>
            <w:r>
              <w:rPr>
                <w:rFonts w:ascii="Aptos" w:hAnsi="Aptos"/>
                <w:color w:val="172033"/>
                <w:sz w:val="16"/>
              </w:rPr>
              <w:t>Document rule engine</w:t>
            </w:r>
          </w:p>
        </w:tc>
        <w:tc>
          <w:tcPr>
            <w:tcW w:type="dxa" w:w="5400"/>
            <w:tcMar>
              <w:top w:w="80" w:type="dxa"/>
              <w:start w:w="90" w:type="dxa"/>
              <w:bottom w:w="80" w:type="dxa"/>
              <w:end w:w="90" w:type="dxa"/>
            </w:tcMar>
            <w:vAlign w:val="center"/>
          </w:tcPr>
          <w:p>
            <w:pPr>
              <w:spacing w:before="0" w:after="0" w:line="240" w:lineRule="auto"/>
              <w:jc w:val="left"/>
            </w:pPr>
            <w:r>
              <w:rPr>
                <w:rFonts w:ascii="Aptos" w:hAnsi="Aptos"/>
                <w:color w:val="172033"/>
                <w:sz w:val="16"/>
              </w:rPr>
              <w:t>DocumentRule configuration exists, but current service logic returns flow defaults whenever flowType is present. This means configured expense-nature requirements can be bypassed.</w:t>
            </w:r>
          </w:p>
        </w:tc>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High</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G-02</w:t>
            </w:r>
          </w:p>
        </w:tc>
        <w:tc>
          <w:tcPr>
            <w:tcW w:type="dxa" w:w="194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Track B approval</w:t>
            </w:r>
          </w:p>
        </w:tc>
        <w:tc>
          <w:tcPr>
            <w:tcW w:type="dxa" w:w="540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Default Track B route is Director-only with a 4-hour express SLA. SRS describes Director → Vice Rector before budget/accounting/Treasury.</w:t>
            </w:r>
          </w:p>
        </w:tc>
        <w:tc>
          <w:tcPr>
            <w:tcW w:type="dxa" w:w="180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High / Decision</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6"/>
              </w:rPr>
              <w:t>G-03</w:t>
            </w:r>
          </w:p>
        </w:tc>
        <w:tc>
          <w:tcPr>
            <w:tcW w:type="dxa" w:w="1944"/>
            <w:tcMar>
              <w:top w:w="80" w:type="dxa"/>
              <w:start w:w="90" w:type="dxa"/>
              <w:bottom w:w="80" w:type="dxa"/>
              <w:end w:w="90" w:type="dxa"/>
            </w:tcMar>
            <w:vAlign w:val="center"/>
          </w:tcPr>
          <w:p>
            <w:pPr>
              <w:spacing w:before="0" w:after="0" w:line="240" w:lineRule="auto"/>
              <w:jc w:val="left"/>
            </w:pPr>
            <w:r>
              <w:rPr>
                <w:rFonts w:ascii="Aptos" w:hAnsi="Aptos"/>
                <w:color w:val="172033"/>
                <w:sz w:val="16"/>
              </w:rPr>
              <w:t>Official exchange rate</w:t>
            </w:r>
          </w:p>
        </w:tc>
        <w:tc>
          <w:tcPr>
            <w:tcW w:type="dxa" w:w="5400"/>
            <w:tcMar>
              <w:top w:w="80" w:type="dxa"/>
              <w:start w:w="90" w:type="dxa"/>
              <w:bottom w:w="80" w:type="dxa"/>
              <w:end w:w="90" w:type="dxa"/>
            </w:tcMar>
            <w:vAlign w:val="center"/>
          </w:tcPr>
          <w:p>
            <w:pPr>
              <w:spacing w:before="0" w:after="0" w:line="240" w:lineRule="auto"/>
              <w:jc w:val="left"/>
            </w:pPr>
            <w:r>
              <w:rPr>
                <w:rFonts w:ascii="Aptos" w:hAnsi="Aptos"/>
                <w:color w:val="172033"/>
                <w:sz w:val="16"/>
              </w:rPr>
              <w:t>Current “latest” exchange-rate endpoint returns a BCRP/SBS reference marked non-authoritative. FPD requires official SUNAT selling rate.</w:t>
            </w:r>
          </w:p>
        </w:tc>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High</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G-04</w:t>
            </w:r>
          </w:p>
        </w:tc>
        <w:tc>
          <w:tcPr>
            <w:tcW w:type="dxa" w:w="194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Bank TXT certification</w:t>
            </w:r>
          </w:p>
        </w:tc>
        <w:tc>
          <w:tcPr>
            <w:tcW w:type="dxa" w:w="5400"/>
            <w:tcMar>
              <w:top w:w="80" w:type="dxa"/>
              <w:start w:w="90" w:type="dxa"/>
              <w:bottom w:w="80" w:type="dxa"/>
              <w:end w:w="90" w:type="dxa"/>
            </w:tcMar>
            <w:vAlign w:val="center"/>
            <w:shd w:fill="FAFCFE"/>
          </w:tcPr>
          <w:p>
            <w:pPr>
              <w:spacing w:after="0" w:before="0" w:line="240" w:lineRule="auto"/>
            </w:pPr>
            <w:r>
              <w:rPr>
                <w:rFonts w:ascii="Aptos" w:hAnsi="Aptos"/>
                <w:sz w:val="16"/>
              </w:rPr>
            </w:r>
            <w:r>
              <w:rPr>
                <w:rFonts w:ascii="Aptos" w:hAnsi="Aptos"/>
                <w:sz w:val="16"/>
              </w:rPr>
              <w:t>UMA has confirmed BBVA as the only Treasury source/payment bank. Actual UMA BBVA PEN/USD samples use fixed-width records (151-byte header; 277-byte details), while the current BBVA adapter is a semicolon-delimited demo and is incompatible. BBVA field semantics/certification still require confirmation. BCP, Interbank and Scotiabank payment-file support is not required for production.</w:t>
            </w:r>
          </w:p>
        </w:tc>
        <w:tc>
          <w:tcPr>
            <w:tcW w:type="dxa" w:w="1800"/>
            <w:tcMar>
              <w:top w:w="80" w:type="dxa"/>
              <w:start w:w="90" w:type="dxa"/>
              <w:bottom w:w="80" w:type="dxa"/>
              <w:end w:w="90" w:type="dxa"/>
            </w:tcMar>
            <w:vAlign w:val="center"/>
            <w:shd w:fill="FAFCFE"/>
          </w:tcPr>
          <w:p>
            <w:pPr>
              <w:spacing w:after="0" w:before="0" w:line="240" w:lineRule="auto"/>
            </w:pPr>
            <w:r>
              <w:rPr>
                <w:rFonts w:ascii="Aptos" w:hAnsi="Aptos"/>
                <w:sz w:val="16"/>
              </w:rPr>
            </w:r>
            <w:r>
              <w:rPr>
                <w:rFonts w:ascii="Aptos" w:hAnsi="Aptos"/>
                <w:sz w:val="16"/>
              </w:rPr>
              <w:t>Critical / BBVA-only production scope</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6"/>
              </w:rPr>
              <w:t>G-05</w:t>
            </w:r>
          </w:p>
        </w:tc>
        <w:tc>
          <w:tcPr>
            <w:tcW w:type="dxa" w:w="1944"/>
            <w:tcMar>
              <w:top w:w="80" w:type="dxa"/>
              <w:start w:w="90" w:type="dxa"/>
              <w:bottom w:w="80" w:type="dxa"/>
              <w:end w:w="90" w:type="dxa"/>
            </w:tcMar>
            <w:vAlign w:val="center"/>
          </w:tcPr>
          <w:p>
            <w:pPr>
              <w:spacing w:before="0" w:after="0" w:line="240" w:lineRule="auto"/>
              <w:jc w:val="left"/>
            </w:pPr>
            <w:r>
              <w:rPr>
                <w:rFonts w:ascii="Aptos" w:hAnsi="Aptos"/>
                <w:color w:val="172033"/>
                <w:sz w:val="16"/>
              </w:rPr>
              <w:t>Budget exception authority</w:t>
            </w:r>
          </w:p>
        </w:tc>
        <w:tc>
          <w:tcPr>
            <w:tcW w:type="dxa" w:w="5400"/>
            <w:tcMar>
              <w:top w:w="80" w:type="dxa"/>
              <w:start w:w="90" w:type="dxa"/>
              <w:bottom w:w="80" w:type="dxa"/>
              <w:end w:w="90" w:type="dxa"/>
            </w:tcMar>
            <w:vAlign w:val="center"/>
          </w:tcPr>
          <w:p>
            <w:pPr>
              <w:spacing w:before="0" w:after="0" w:line="240" w:lineRule="auto"/>
              <w:jc w:val="left"/>
            </w:pPr>
            <w:r>
              <w:rPr>
                <w:rFonts w:ascii="Aptos" w:hAnsi="Aptos"/>
                <w:color w:val="172033"/>
                <w:sz w:val="16"/>
              </w:rPr>
              <w:t>Budget exception decision route is currently Admin/Budget. SRS states extraordinary approval by Rectorate / General Management.</w:t>
            </w:r>
          </w:p>
        </w:tc>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High / Decision</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G-06</w:t>
            </w:r>
          </w:p>
        </w:tc>
        <w:tc>
          <w:tcPr>
            <w:tcW w:type="dxa" w:w="194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SIRE record granularity</w:t>
            </w:r>
          </w:p>
        </w:tc>
        <w:tc>
          <w:tcPr>
            <w:tcW w:type="dxa" w:w="540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SIRE export reads FinancialRequest and creates one row per eligible request. A1/A2 can produce multiple fiscal vouchers; RCE should be voucher/invoice-centric.</w:t>
            </w:r>
          </w:p>
        </w:tc>
        <w:tc>
          <w:tcPr>
            <w:tcW w:type="dxa" w:w="180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Medium-High</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6"/>
              </w:rPr>
              <w:t>G-07</w:t>
            </w:r>
          </w:p>
        </w:tc>
        <w:tc>
          <w:tcPr>
            <w:tcW w:type="dxa" w:w="1944"/>
            <w:tcMar>
              <w:top w:w="80" w:type="dxa"/>
              <w:start w:w="90" w:type="dxa"/>
              <w:bottom w:w="80" w:type="dxa"/>
              <w:end w:w="90" w:type="dxa"/>
            </w:tcMar>
            <w:vAlign w:val="center"/>
          </w:tcPr>
          <w:p>
            <w:pPr>
              <w:spacing w:before="0" w:after="0" w:line="240" w:lineRule="auto"/>
              <w:jc w:val="left"/>
            </w:pPr>
            <w:r>
              <w:rPr>
                <w:rFonts w:ascii="Aptos" w:hAnsi="Aptos"/>
                <w:color w:val="172033"/>
                <w:sz w:val="16"/>
              </w:rPr>
              <w:t>SLA alerts</w:t>
            </w:r>
          </w:p>
        </w:tc>
        <w:tc>
          <w:tcPr>
            <w:tcW w:type="dxa" w:w="5400"/>
            <w:tcMar>
              <w:top w:w="80" w:type="dxa"/>
              <w:start w:w="90" w:type="dxa"/>
              <w:bottom w:w="80" w:type="dxa"/>
              <w:end w:w="90" w:type="dxa"/>
            </w:tcMar>
            <w:vAlign w:val="center"/>
          </w:tcPr>
          <w:p>
            <w:pPr>
              <w:spacing w:before="0" w:after="0" w:line="240" w:lineRule="auto"/>
              <w:jc w:val="left"/>
            </w:pPr>
            <w:r>
              <w:rPr>
                <w:rFonts w:ascii="Aptos" w:hAnsi="Aptos"/>
                <w:color w:val="172033"/>
                <w:sz w:val="16"/>
              </w:rPr>
              <w:t>Due dates and overdue dashboard counts exist, but no recurring automatic notification/escalation job was identified.</w:t>
            </w:r>
          </w:p>
        </w:tc>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Medium</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G-08</w:t>
            </w:r>
          </w:p>
        </w:tc>
        <w:tc>
          <w:tcPr>
            <w:tcW w:type="dxa" w:w="1944"/>
            <w:tcMar>
              <w:top w:w="80" w:type="dxa"/>
              <w:start w:w="90" w:type="dxa"/>
              <w:bottom w:w="80" w:type="dxa"/>
              <w:end w:w="90" w:type="dxa"/>
            </w:tcMar>
            <w:vAlign w:val="center"/>
            <w:shd w:fill="FAFCFE"/>
          </w:tcPr>
          <w:p>
            <w:pPr>
              <w:spacing w:after="0" w:before="0" w:line="240" w:lineRule="auto"/>
            </w:pPr>
            <w:r>
              <w:rPr>
                <w:rFonts w:ascii="Aptos" w:hAnsi="Aptos"/>
                <w:sz w:val="16"/>
              </w:rPr>
              <w:t>Dependent workflow status model / A1-A2 aggregation</w:t>
            </w:r>
          </w:p>
        </w:tc>
        <w:tc>
          <w:tcPr>
            <w:tcW w:type="dxa" w:w="5400"/>
            <w:tcMar>
              <w:top w:w="80" w:type="dxa"/>
              <w:start w:w="90" w:type="dxa"/>
              <w:bottom w:w="80" w:type="dxa"/>
              <w:end w:w="90" w:type="dxa"/>
            </w:tcMar>
            <w:vAlign w:val="center"/>
            <w:shd w:fill="FAFCFE"/>
          </w:tcPr>
          <w:p>
            <w:pPr>
              <w:spacing w:after="0" w:before="0" w:line="240" w:lineRule="auto"/>
            </w:pPr>
            <w:r>
              <w:rPr>
                <w:rFonts w:ascii="Aptos" w:hAnsi="Aptos"/>
                <w:sz w:val="16"/>
              </w:rPr>
              <w:t>Treasury correctly avoids forcing parent payment states for PO-invoice flows, but the project currently lacks a formally documented rule for canonical request states, dependent child states, partial multi-invoice progress and Track C rendition status. Without this, the same request can be interpreted differently by frontend, backend and reports.</w:t>
            </w:r>
          </w:p>
        </w:tc>
        <w:tc>
          <w:tcPr>
            <w:tcW w:type="dxa" w:w="1800"/>
            <w:tcMar>
              <w:top w:w="80" w:type="dxa"/>
              <w:start w:w="90" w:type="dxa"/>
              <w:bottom w:w="80" w:type="dxa"/>
              <w:end w:w="90" w:type="dxa"/>
            </w:tcMar>
            <w:vAlign w:val="center"/>
            <w:shd w:fill="FAFCFE"/>
          </w:tcPr>
          <w:p>
            <w:pPr>
              <w:spacing w:after="0" w:before="0" w:line="240" w:lineRule="auto"/>
            </w:pPr>
            <w:r>
              <w:rPr>
                <w:rFonts w:ascii="Aptos" w:hAnsi="Aptos"/>
                <w:sz w:val="16"/>
              </w:rPr>
              <w:t>High / Workflow integrity</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6"/>
              </w:rPr>
              <w:t>G-09</w:t>
            </w:r>
          </w:p>
        </w:tc>
        <w:tc>
          <w:tcPr>
            <w:tcW w:type="dxa" w:w="1944"/>
            <w:tcMar>
              <w:top w:w="80" w:type="dxa"/>
              <w:start w:w="90" w:type="dxa"/>
              <w:bottom w:w="80" w:type="dxa"/>
              <w:end w:w="90" w:type="dxa"/>
            </w:tcMar>
            <w:vAlign w:val="center"/>
          </w:tcPr>
          <w:p>
            <w:pPr>
              <w:spacing w:before="0" w:after="0" w:line="240" w:lineRule="auto"/>
              <w:jc w:val="left"/>
            </w:pPr>
            <w:r>
              <w:rPr>
                <w:rFonts w:ascii="Aptos" w:hAnsi="Aptos"/>
                <w:color w:val="172033"/>
                <w:sz w:val="16"/>
              </w:rPr>
              <w:t>Accounting entry timing conflict</w:t>
            </w:r>
          </w:p>
        </w:tc>
        <w:tc>
          <w:tcPr>
            <w:tcW w:type="dxa" w:w="5400"/>
            <w:tcMar>
              <w:top w:w="80" w:type="dxa"/>
              <w:start w:w="90" w:type="dxa"/>
              <w:bottom w:w="80" w:type="dxa"/>
              <w:end w:w="90" w:type="dxa"/>
            </w:tcMar>
            <w:vAlign w:val="center"/>
          </w:tcPr>
          <w:p>
            <w:pPr>
              <w:spacing w:before="0" w:after="0" w:line="240" w:lineRule="auto"/>
              <w:jc w:val="left"/>
            </w:pPr>
            <w:r>
              <w:rPr>
                <w:rFonts w:ascii="Aptos" w:hAnsi="Aptos"/>
                <w:color w:val="172033"/>
                <w:sz w:val="16"/>
              </w:rPr>
              <w:t>FPD states payment entry at bank TXT generation; newer SRS/current code waits for actual Treasury payment confirmation. This conflict needs business sign-off.</w:t>
            </w:r>
          </w:p>
        </w:tc>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Decision</w:t>
            </w:r>
          </w:p>
        </w:tc>
      </w:tr>
      <w:tr>
        <w:trPr>
          <w:cantSplit/>
        </w:trPr>
        <w:tc>
          <w:tcPr>
            <w:tcW w:type="dxa" w:w="792"/>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6"/>
              </w:rPr>
              <w:t>G-10</w:t>
            </w:r>
          </w:p>
        </w:tc>
        <w:tc>
          <w:tcPr>
            <w:tcW w:type="dxa" w:w="1944"/>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6"/>
              </w:rPr>
              <w:t>Real Cost Center master data</w:t>
            </w:r>
          </w:p>
        </w:tc>
        <w:tc>
          <w:tcPr>
            <w:tcW w:type="dxa" w:w="5400"/>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6"/>
              </w:rPr>
              <w:t>The application data model supports CeCos and user default/authorized CeCos, but the reviewed backup contains 6 generic/demo Cost Centers. Treasury has now provided a real employee-to-CeCo/area/organic-unit workbook with 153 assignments and 39 unique CeCos. The workbook also contains a small number of ambiguous hierarchy/name mappings that need confirmation before production import.</w:t>
            </w:r>
          </w:p>
        </w:tc>
        <w:tc>
          <w:tcPr>
            <w:tcW w:type="dxa" w:w="1800"/>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6"/>
              </w:rPr>
              <w:t>High / Real-data dependency</w:t>
            </w:r>
          </w:p>
        </w:tc>
      </w:tr>
    </w:tbl>
    <w:p>
      <w:pPr>
        <w:spacing w:after="20"/>
      </w:pPr>
    </w:p>
    <w:p>
      <w:pPr>
        <w:pStyle w:val="Heading1"/>
        <w:keepNext/>
        <w:spacing w:before="240" w:after="120"/>
      </w:pPr>
      <w:r>
        <w:rPr>
          <w:rFonts w:ascii="Arial" w:hAnsi="Arial"/>
          <w:b/>
          <w:color w:val="0A3D62"/>
          <w:sz w:val="30"/>
        </w:rPr>
        <w:t>5. Planned Changes and Why They Are Needed</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72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ID</w:t>
            </w:r>
          </w:p>
        </w:tc>
        <w:tc>
          <w:tcPr>
            <w:tcW w:type="dxa" w:w="2088"/>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Change</w:t>
            </w:r>
          </w:p>
        </w:tc>
        <w:tc>
          <w:tcPr>
            <w:tcW w:type="dxa" w:w="2304"/>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Main code area</w:t>
            </w:r>
          </w:p>
        </w:tc>
        <w:tc>
          <w:tcPr>
            <w:tcW w:type="dxa" w:w="4104"/>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Why</w:t>
            </w:r>
          </w:p>
        </w:tc>
        <w:tc>
          <w:tcPr>
            <w:tcW w:type="dxa" w:w="1008"/>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Priority</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C-01</w:t>
            </w:r>
          </w:p>
        </w:tc>
        <w:tc>
          <w:tcPr>
            <w:tcW w:type="dxa" w:w="2088"/>
            <w:tcMar>
              <w:top w:w="80" w:type="dxa"/>
              <w:start w:w="90" w:type="dxa"/>
              <w:bottom w:w="80" w:type="dxa"/>
              <w:end w:w="90" w:type="dxa"/>
            </w:tcMar>
            <w:vAlign w:val="center"/>
          </w:tcPr>
          <w:p>
            <w:pPr>
              <w:spacing w:before="0" w:after="0" w:line="240" w:lineRule="auto"/>
              <w:jc w:val="left"/>
            </w:pPr>
            <w:r>
              <w:rPr>
                <w:rFonts w:ascii="Aptos" w:hAnsi="Aptos"/>
                <w:color w:val="172033"/>
                <w:sz w:val="15"/>
              </w:rPr>
              <w:t>Make document rules phase-aware and configurable</w:t>
            </w:r>
          </w:p>
        </w:tc>
        <w:tc>
          <w:tcPr>
            <w:tcW w:type="dxa" w:w="2304"/>
            <w:tcMar>
              <w:top w:w="80" w:type="dxa"/>
              <w:start w:w="90" w:type="dxa"/>
              <w:bottom w:w="80" w:type="dxa"/>
              <w:end w:w="90" w:type="dxa"/>
            </w:tcMar>
            <w:vAlign w:val="center"/>
          </w:tcPr>
          <w:p>
            <w:pPr>
              <w:spacing w:before="0" w:after="0" w:line="240" w:lineRule="auto"/>
              <w:jc w:val="left"/>
            </w:pPr>
            <w:r>
              <w:rPr>
                <w:rFonts w:ascii="Aptos" w:hAnsi="Aptos"/>
                <w:color w:val="172033"/>
                <w:sz w:val="15"/>
              </w:rPr>
              <w:t>backend/src/services/documentRuleService.js; DocumentRule configuration; related frontend requirement display</w:t>
            </w:r>
          </w:p>
        </w:tc>
        <w:tc>
          <w:tcPr>
            <w:tcW w:type="dxa" w:w="4104"/>
            <w:tcMar>
              <w:top w:w="80" w:type="dxa"/>
              <w:start w:w="90" w:type="dxa"/>
              <w:bottom w:w="80" w:type="dxa"/>
              <w:end w:w="90" w:type="dxa"/>
            </w:tcMar>
            <w:vAlign w:val="center"/>
          </w:tcPr>
          <w:p>
            <w:pPr>
              <w:spacing w:before="0" w:after="0" w:line="240" w:lineRule="auto"/>
              <w:jc w:val="left"/>
            </w:pPr>
            <w:r>
              <w:rPr>
                <w:rFonts w:ascii="Aptos" w:hAnsi="Aptos"/>
                <w:color w:val="172033"/>
                <w:sz w:val="15"/>
              </w:rPr>
              <w:t>The SRS requires different evidence for goods, services, professional fees, petty cash and reimbursement. Some evidence is logically required at submission, while invoice/conformity evidence is required later. A phase-aware engine avoids blocking too early and prevents bypassing the catalogue.</w:t>
            </w:r>
          </w:p>
        </w:tc>
        <w:tc>
          <w:tcPr>
            <w:tcW w:type="dxa" w:w="1008"/>
            <w:tcMar>
              <w:top w:w="80" w:type="dxa"/>
              <w:start w:w="90" w:type="dxa"/>
              <w:bottom w:w="80" w:type="dxa"/>
              <w:end w:w="90" w:type="dxa"/>
            </w:tcMar>
            <w:vAlign w:val="center"/>
          </w:tcPr>
          <w:p>
            <w:pPr>
              <w:spacing w:before="0" w:after="0" w:line="240" w:lineRule="auto"/>
              <w:jc w:val="left"/>
            </w:pPr>
            <w:r>
              <w:rPr>
                <w:rFonts w:ascii="Aptos" w:hAnsi="Aptos"/>
                <w:color w:val="172033"/>
                <w:sz w:val="15"/>
              </w:rPr>
              <w:t>P0</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C-02</w:t>
            </w:r>
          </w:p>
        </w:tc>
        <w:tc>
          <w:tcPr>
            <w:tcW w:type="dxa" w:w="208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Align or formally approve the Track B route</w:t>
            </w:r>
          </w:p>
        </w:tc>
        <w:tc>
          <w:tcPr>
            <w:tcW w:type="dxa" w:w="230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approvalRuleService.js + approval rule master data</w:t>
            </w:r>
          </w:p>
        </w:tc>
        <w:tc>
          <w:tcPr>
            <w:tcW w:type="dxa" w:w="410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Direct payment currently has an express one-approval default. This must either be changed to Director → Vice Rector or formally documented as an approved exception.</w:t>
            </w:r>
          </w:p>
        </w:tc>
        <w:tc>
          <w:tcPr>
            <w:tcW w:type="dxa" w:w="100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P0 / Decision</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C-03</w:t>
            </w:r>
          </w:p>
        </w:tc>
        <w:tc>
          <w:tcPr>
            <w:tcW w:type="dxa" w:w="2088"/>
            <w:tcMar>
              <w:top w:w="80" w:type="dxa"/>
              <w:start w:w="90" w:type="dxa"/>
              <w:bottom w:w="80" w:type="dxa"/>
              <w:end w:w="90" w:type="dxa"/>
            </w:tcMar>
            <w:vAlign w:val="center"/>
          </w:tcPr>
          <w:p>
            <w:pPr>
              <w:spacing w:before="0" w:after="0" w:line="240" w:lineRule="auto"/>
              <w:jc w:val="left"/>
            </w:pPr>
            <w:r>
              <w:rPr>
                <w:rFonts w:ascii="Aptos" w:hAnsi="Aptos"/>
                <w:color w:val="172033"/>
                <w:sz w:val="15"/>
              </w:rPr>
              <w:t>Use official SUNAT selling exchange rate as the authoritative source</w:t>
            </w:r>
          </w:p>
        </w:tc>
        <w:tc>
          <w:tcPr>
            <w:tcW w:type="dxa" w:w="2304"/>
            <w:tcMar>
              <w:top w:w="80" w:type="dxa"/>
              <w:start w:w="90" w:type="dxa"/>
              <w:bottom w:w="80" w:type="dxa"/>
              <w:end w:w="90" w:type="dxa"/>
            </w:tcMar>
            <w:vAlign w:val="center"/>
          </w:tcPr>
          <w:p>
            <w:pPr>
              <w:spacing w:before="0" w:after="0" w:line="240" w:lineRule="auto"/>
              <w:jc w:val="left"/>
            </w:pPr>
            <w:r>
              <w:rPr>
                <w:rFonts w:ascii="Aptos" w:hAnsi="Aptos"/>
                <w:color w:val="172033"/>
                <w:sz w:val="15"/>
              </w:rPr>
              <w:t>exchange-rate provider/controller + scheduled synchronization</w:t>
            </w:r>
          </w:p>
        </w:tc>
        <w:tc>
          <w:tcPr>
            <w:tcW w:type="dxa" w:w="4104"/>
            <w:tcMar>
              <w:top w:w="80" w:type="dxa"/>
              <w:start w:w="90" w:type="dxa"/>
              <w:bottom w:w="80" w:type="dxa"/>
              <w:end w:w="90" w:type="dxa"/>
            </w:tcMar>
            <w:vAlign w:val="center"/>
          </w:tcPr>
          <w:p>
            <w:pPr>
              <w:spacing w:before="0" w:after="0" w:line="240" w:lineRule="auto"/>
              <w:jc w:val="left"/>
            </w:pPr>
            <w:r>
              <w:rPr>
                <w:rFonts w:ascii="Aptos" w:hAnsi="Aptos"/>
                <w:color w:val="172033"/>
                <w:sz w:val="15"/>
              </w:rPr>
              <w:t>FPD explicitly requires SUNAT Venta. BCRP can remain a fallback/reference, but non-authoritative rates should not silently drive official accounting/budget conversion.</w:t>
            </w:r>
          </w:p>
        </w:tc>
        <w:tc>
          <w:tcPr>
            <w:tcW w:type="dxa" w:w="1008"/>
            <w:tcMar>
              <w:top w:w="80" w:type="dxa"/>
              <w:start w:w="90" w:type="dxa"/>
              <w:bottom w:w="80" w:type="dxa"/>
              <w:end w:w="90" w:type="dxa"/>
            </w:tcMar>
            <w:vAlign w:val="center"/>
          </w:tcPr>
          <w:p>
            <w:pPr>
              <w:spacing w:before="0" w:after="0" w:line="240" w:lineRule="auto"/>
              <w:jc w:val="left"/>
            </w:pPr>
            <w:r>
              <w:rPr>
                <w:rFonts w:ascii="Aptos" w:hAnsi="Aptos"/>
                <w:color w:val="172033"/>
                <w:sz w:val="15"/>
              </w:rPr>
              <w:t>P0</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C-04</w:t>
            </w:r>
          </w:p>
        </w:tc>
        <w:tc>
          <w:tcPr>
            <w:tcW w:type="dxa" w:w="2088"/>
            <w:tcMar>
              <w:top w:w="80" w:type="dxa"/>
              <w:start w:w="90" w:type="dxa"/>
              <w:bottom w:w="80" w:type="dxa"/>
              <w:end w:w="90" w:type="dxa"/>
            </w:tcMar>
            <w:vAlign w:val="center"/>
            <w:shd w:fill="FAFCFE"/>
          </w:tcPr>
          <w:p>
            <w:pPr>
              <w:spacing w:after="0" w:before="0" w:line="240" w:lineRule="auto"/>
            </w:pPr>
            <w:r>
              <w:rPr>
                <w:rFonts w:ascii="Aptos" w:hAnsi="Aptos"/>
                <w:sz w:val="15"/>
              </w:rPr>
            </w:r>
            <w:r>
              <w:rPr>
                <w:rFonts w:ascii="Aptos" w:hAnsi="Aptos"/>
                <w:sz w:val="15"/>
              </w:rPr>
              <w:t>Replace BBVA demo generator with the actual fixed-width UMA format and disable non-BBVA payment-file paths</w:t>
            </w:r>
          </w:p>
        </w:tc>
        <w:tc>
          <w:tcPr>
            <w:tcW w:type="dxa" w:w="2304"/>
            <w:tcMar>
              <w:top w:w="80" w:type="dxa"/>
              <w:start w:w="90" w:type="dxa"/>
              <w:bottom w:w="80" w:type="dxa"/>
              <w:end w:w="90" w:type="dxa"/>
            </w:tcMar>
            <w:vAlign w:val="center"/>
            <w:shd w:fill="FAFCFE"/>
          </w:tcPr>
          <w:p>
            <w:pPr>
              <w:spacing w:after="0" w:before="0" w:line="240" w:lineRule="auto"/>
            </w:pPr>
            <w:r>
              <w:rPr>
                <w:rFonts w:ascii="Aptos" w:hAnsi="Aptos"/>
                <w:sz w:val="15"/>
              </w:rPr>
              <w:t>backend/src/integrations/banks/BbvaBankFileAdapter.js; BankFileAdapter.js; BankFormatConfiguration; Treasury generation/tests</w:t>
            </w:r>
          </w:p>
        </w:tc>
        <w:tc>
          <w:tcPr>
            <w:tcW w:type="dxa" w:w="4104"/>
            <w:tcMar>
              <w:top w:w="80" w:type="dxa"/>
              <w:start w:w="90" w:type="dxa"/>
              <w:bottom w:w="80" w:type="dxa"/>
              <w:end w:w="90" w:type="dxa"/>
            </w:tcMar>
            <w:vAlign w:val="center"/>
            <w:shd w:fill="FAFCFE"/>
          </w:tcPr>
          <w:p>
            <w:pPr>
              <w:spacing w:after="0" w:before="0" w:line="240" w:lineRule="auto"/>
            </w:pPr>
            <w:r>
              <w:rPr>
                <w:rFonts w:ascii="Aptos" w:hAnsi="Aptos"/>
                <w:sz w:val="15"/>
              </w:rPr>
            </w:r>
            <w:r>
              <w:rPr>
                <w:rFonts w:ascii="Aptos" w:hAnsi="Aptos"/>
                <w:sz w:val="15"/>
              </w:rPr>
              <w:t>The supplied BBVA PEN/USD files establish the real structural target: 151-byte header, 277-byte detail rows, fixed-width/no delimiter, count and total reconciliation, and currency-specific header content. The current semicolon demo adapter cannot produce an upload-compatible file. UMA has confirmed BBVA as the only source bank for Treasury payments, so BCP/Interbank/Scotiabank payment-file generation is out of scope and should be disabled/deprecated rather than completed. Formal confirmation of BBVA field definitions, constants, encoding and naming should precede CERTIFIED production mode.</w:t>
            </w:r>
          </w:p>
        </w:tc>
        <w:tc>
          <w:tcPr>
            <w:tcW w:type="dxa" w:w="1008"/>
            <w:tcMar>
              <w:top w:w="80" w:type="dxa"/>
              <w:start w:w="90" w:type="dxa"/>
              <w:bottom w:w="80" w:type="dxa"/>
              <w:end w:w="90" w:type="dxa"/>
            </w:tcMar>
            <w:vAlign w:val="center"/>
            <w:shd w:fill="FAFCFE"/>
          </w:tcPr>
          <w:p>
            <w:pPr>
              <w:spacing w:after="0" w:before="0" w:line="240" w:lineRule="auto"/>
            </w:pPr>
            <w:r>
              <w:rPr>
                <w:rFonts w:ascii="Aptos" w:hAnsi="Aptos"/>
                <w:sz w:val="15"/>
              </w:rPr>
              <w:t>P0 / BBVA actionable</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C-05</w:t>
            </w:r>
          </w:p>
        </w:tc>
        <w:tc>
          <w:tcPr>
            <w:tcW w:type="dxa" w:w="2088"/>
            <w:tcMar>
              <w:top w:w="80" w:type="dxa"/>
              <w:start w:w="90" w:type="dxa"/>
              <w:bottom w:w="80" w:type="dxa"/>
              <w:end w:w="90" w:type="dxa"/>
            </w:tcMar>
            <w:vAlign w:val="center"/>
          </w:tcPr>
          <w:p>
            <w:pPr>
              <w:spacing w:before="0" w:after="0" w:line="240" w:lineRule="auto"/>
              <w:jc w:val="left"/>
            </w:pPr>
            <w:r>
              <w:rPr>
                <w:rFonts w:ascii="Aptos" w:hAnsi="Aptos"/>
                <w:color w:val="172033"/>
                <w:sz w:val="15"/>
              </w:rPr>
              <w:t>Separate budget exception preparation from extraordinary approval</w:t>
            </w:r>
          </w:p>
        </w:tc>
        <w:tc>
          <w:tcPr>
            <w:tcW w:type="dxa" w:w="2304"/>
            <w:tcMar>
              <w:top w:w="80" w:type="dxa"/>
              <w:start w:w="90" w:type="dxa"/>
              <w:bottom w:w="80" w:type="dxa"/>
              <w:end w:w="90" w:type="dxa"/>
            </w:tcMar>
            <w:vAlign w:val="center"/>
          </w:tcPr>
          <w:p>
            <w:pPr>
              <w:spacing w:before="0" w:after="0" w:line="240" w:lineRule="auto"/>
              <w:jc w:val="left"/>
            </w:pPr>
            <w:r>
              <w:rPr>
                <w:rFonts w:ascii="Aptos" w:hAnsi="Aptos"/>
                <w:color w:val="172033"/>
                <w:sz w:val="15"/>
              </w:rPr>
              <w:t>budgetRoutes + budget exception service/UI</w:t>
            </w:r>
          </w:p>
        </w:tc>
        <w:tc>
          <w:tcPr>
            <w:tcW w:type="dxa" w:w="4104"/>
            <w:tcMar>
              <w:top w:w="80" w:type="dxa"/>
              <w:start w:w="90" w:type="dxa"/>
              <w:bottom w:w="80" w:type="dxa"/>
              <w:end w:w="90" w:type="dxa"/>
            </w:tcMar>
            <w:vAlign w:val="center"/>
          </w:tcPr>
          <w:p>
            <w:pPr>
              <w:spacing w:before="0" w:after="0" w:line="240" w:lineRule="auto"/>
              <w:jc w:val="left"/>
            </w:pPr>
            <w:r>
              <w:rPr>
                <w:rFonts w:ascii="Aptos" w:hAnsi="Aptos"/>
                <w:color w:val="172033"/>
                <w:sz w:val="15"/>
              </w:rPr>
              <w:t>Budget staff should identify/prepare the exception; Rectorate/General Management should authorize extraordinary use when required by the SRS.</w:t>
            </w:r>
          </w:p>
        </w:tc>
        <w:tc>
          <w:tcPr>
            <w:tcW w:type="dxa" w:w="1008"/>
            <w:tcMar>
              <w:top w:w="80" w:type="dxa"/>
              <w:start w:w="90" w:type="dxa"/>
              <w:bottom w:w="80" w:type="dxa"/>
              <w:end w:w="90" w:type="dxa"/>
            </w:tcMar>
            <w:vAlign w:val="center"/>
          </w:tcPr>
          <w:p>
            <w:pPr>
              <w:spacing w:before="0" w:after="0" w:line="240" w:lineRule="auto"/>
              <w:jc w:val="left"/>
            </w:pPr>
            <w:r>
              <w:rPr>
                <w:rFonts w:ascii="Aptos" w:hAnsi="Aptos"/>
                <w:color w:val="172033"/>
                <w:sz w:val="15"/>
              </w:rPr>
              <w:t>P1 / Decision</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C-06</w:t>
            </w:r>
          </w:p>
        </w:tc>
        <w:tc>
          <w:tcPr>
            <w:tcW w:type="dxa" w:w="208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Move SIRE/RCE export to fiscal-voucher granularity</w:t>
            </w:r>
          </w:p>
        </w:tc>
        <w:tc>
          <w:tcPr>
            <w:tcW w:type="dxa" w:w="230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sireService.js, SunatVoucher/CXP joins, SIRE UI</w:t>
            </w:r>
          </w:p>
        </w:tc>
        <w:tc>
          <w:tcPr>
            <w:tcW w:type="dxa" w:w="410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A purchase order can have multiple invoices. Each fiscal voucher should be independently validated and represented in RCE/SIRE output.</w:t>
            </w:r>
          </w:p>
        </w:tc>
        <w:tc>
          <w:tcPr>
            <w:tcW w:type="dxa" w:w="100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P1</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C-07</w:t>
            </w:r>
          </w:p>
        </w:tc>
        <w:tc>
          <w:tcPr>
            <w:tcW w:type="dxa" w:w="2088"/>
            <w:tcMar>
              <w:top w:w="80" w:type="dxa"/>
              <w:start w:w="90" w:type="dxa"/>
              <w:bottom w:w="80" w:type="dxa"/>
              <w:end w:w="90" w:type="dxa"/>
            </w:tcMar>
            <w:vAlign w:val="center"/>
          </w:tcPr>
          <w:p>
            <w:pPr>
              <w:spacing w:before="0" w:after="0" w:line="240" w:lineRule="auto"/>
              <w:jc w:val="left"/>
            </w:pPr>
            <w:r>
              <w:rPr>
                <w:rFonts w:ascii="Aptos" w:hAnsi="Aptos"/>
                <w:color w:val="172033"/>
                <w:sz w:val="15"/>
              </w:rPr>
              <w:t>Add automatic SLA notification/escalation job</w:t>
            </w:r>
          </w:p>
        </w:tc>
        <w:tc>
          <w:tcPr>
            <w:tcW w:type="dxa" w:w="2304"/>
            <w:tcMar>
              <w:top w:w="80" w:type="dxa"/>
              <w:start w:w="90" w:type="dxa"/>
              <w:bottom w:w="80" w:type="dxa"/>
              <w:end w:w="90" w:type="dxa"/>
            </w:tcMar>
            <w:vAlign w:val="center"/>
          </w:tcPr>
          <w:p>
            <w:pPr>
              <w:spacing w:before="0" w:after="0" w:line="240" w:lineRule="auto"/>
              <w:jc w:val="left"/>
            </w:pPr>
            <w:r>
              <w:rPr>
                <w:rFonts w:ascii="Aptos" w:hAnsi="Aptos"/>
                <w:color w:val="172033"/>
                <w:sz w:val="15"/>
              </w:rPr>
              <w:t>notification service + scheduled worker/job</w:t>
            </w:r>
          </w:p>
        </w:tc>
        <w:tc>
          <w:tcPr>
            <w:tcW w:type="dxa" w:w="4104"/>
            <w:tcMar>
              <w:top w:w="80" w:type="dxa"/>
              <w:start w:w="90" w:type="dxa"/>
              <w:bottom w:w="80" w:type="dxa"/>
              <w:end w:w="90" w:type="dxa"/>
            </w:tcMar>
            <w:vAlign w:val="center"/>
          </w:tcPr>
          <w:p>
            <w:pPr>
              <w:spacing w:before="0" w:after="0" w:line="240" w:lineRule="auto"/>
              <w:jc w:val="left"/>
            </w:pPr>
            <w:r>
              <w:rPr>
                <w:rFonts w:ascii="Aptos" w:hAnsi="Aptos"/>
                <w:color w:val="172033"/>
                <w:sz w:val="15"/>
              </w:rPr>
              <w:t>The SRS requires automatic alerts for overdue approvals. Dashboard visibility alone does not satisfy proactive SLA notification.</w:t>
            </w:r>
          </w:p>
        </w:tc>
        <w:tc>
          <w:tcPr>
            <w:tcW w:type="dxa" w:w="1008"/>
            <w:tcMar>
              <w:top w:w="80" w:type="dxa"/>
              <w:start w:w="90" w:type="dxa"/>
              <w:bottom w:w="80" w:type="dxa"/>
              <w:end w:w="90" w:type="dxa"/>
            </w:tcMar>
            <w:vAlign w:val="center"/>
          </w:tcPr>
          <w:p>
            <w:pPr>
              <w:spacing w:before="0" w:after="0" w:line="240" w:lineRule="auto"/>
              <w:jc w:val="left"/>
            </w:pPr>
            <w:r>
              <w:rPr>
                <w:rFonts w:ascii="Aptos" w:hAnsi="Aptos"/>
                <w:color w:val="172033"/>
                <w:sz w:val="15"/>
              </w:rPr>
              <w:t>P1</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C-08</w:t>
            </w:r>
          </w:p>
        </w:tc>
        <w:tc>
          <w:tcPr>
            <w:tcW w:type="dxa" w:w="2088"/>
            <w:tcMar>
              <w:top w:w="80" w:type="dxa"/>
              <w:start w:w="90" w:type="dxa"/>
              <w:bottom w:w="80" w:type="dxa"/>
              <w:end w:w="90" w:type="dxa"/>
            </w:tcMar>
            <w:vAlign w:val="center"/>
            <w:shd w:fill="FAFCFE"/>
          </w:tcPr>
          <w:p>
            <w:pPr>
              <w:spacing w:after="0" w:before="0" w:line="240" w:lineRule="auto"/>
            </w:pPr>
            <w:r>
              <w:rPr>
                <w:rFonts w:ascii="Aptos" w:hAnsi="Aptos"/>
                <w:sz w:val="15"/>
              </w:rPr>
              <w:t>Implement canonical dependent-status engine + derived aggregate financial progress</w:t>
            </w:r>
          </w:p>
        </w:tc>
        <w:tc>
          <w:tcPr>
            <w:tcW w:type="dxa" w:w="2304"/>
            <w:tcMar>
              <w:top w:w="80" w:type="dxa"/>
              <w:start w:w="90" w:type="dxa"/>
              <w:bottom w:w="80" w:type="dxa"/>
              <w:end w:w="90" w:type="dxa"/>
            </w:tcMar>
            <w:vAlign w:val="center"/>
            <w:shd w:fill="FAFCFE"/>
          </w:tcPr>
          <w:p>
            <w:pPr>
              <w:spacing w:after="0" w:before="0" w:line="240" w:lineRule="auto"/>
            </w:pPr>
            <w:r>
              <w:rPr>
                <w:rFonts w:ascii="Aptos" w:hAnsi="Aptos"/>
                <w:sz w:val="15"/>
              </w:rPr>
              <w:t>request workflow/state-transition service; request summary API; CXP/payment/rendition services; frontend detail/list/status components</w:t>
            </w:r>
          </w:p>
        </w:tc>
        <w:tc>
          <w:tcPr>
            <w:tcW w:type="dxa" w:w="4104"/>
            <w:tcMar>
              <w:top w:w="80" w:type="dxa"/>
              <w:start w:w="90" w:type="dxa"/>
              <w:bottom w:w="80" w:type="dxa"/>
              <w:end w:w="90" w:type="dxa"/>
            </w:tcMar>
            <w:vAlign w:val="center"/>
            <w:shd w:fill="FAFCFE"/>
          </w:tcPr>
          <w:p>
            <w:pPr>
              <w:spacing w:after="0" w:before="0" w:line="240" w:lineRule="auto"/>
            </w:pPr>
            <w:r>
              <w:rPr>
                <w:rFonts w:ascii="Aptos" w:hAnsi="Aptos"/>
                <w:sz w:val="15"/>
              </w:rPr>
              <w:t>Use one controlled canonical request-state chain and keep payment/rendition progress as dependent dimensions. The parent request advances only when all applicable child obligations meet the milestone; partial states such as “1 of 3 paid” are computed for display and reporting, not manually persisted as the core request status. This prevents one invoice or one advance event from incorrectly representing the whole request.</w:t>
            </w:r>
          </w:p>
        </w:tc>
        <w:tc>
          <w:tcPr>
            <w:tcW w:type="dxa" w:w="1008"/>
            <w:tcMar>
              <w:top w:w="80" w:type="dxa"/>
              <w:start w:w="90" w:type="dxa"/>
              <w:bottom w:w="80" w:type="dxa"/>
              <w:end w:w="90" w:type="dxa"/>
            </w:tcMar>
            <w:vAlign w:val="center"/>
            <w:shd w:fill="FAFCFE"/>
          </w:tcPr>
          <w:p>
            <w:pPr>
              <w:spacing w:after="0" w:before="0" w:line="240" w:lineRule="auto"/>
            </w:pPr>
            <w:r>
              <w:rPr>
                <w:rFonts w:ascii="Aptos" w:hAnsi="Aptos"/>
                <w:sz w:val="15"/>
              </w:rPr>
              <w:t>P1 / Recommended standard</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C-09</w:t>
            </w:r>
          </w:p>
        </w:tc>
        <w:tc>
          <w:tcPr>
            <w:tcW w:type="dxa" w:w="2088"/>
            <w:tcMar>
              <w:top w:w="80" w:type="dxa"/>
              <w:start w:w="90" w:type="dxa"/>
              <w:bottom w:w="80" w:type="dxa"/>
              <w:end w:w="90" w:type="dxa"/>
            </w:tcMar>
            <w:vAlign w:val="center"/>
          </w:tcPr>
          <w:p>
            <w:pPr>
              <w:spacing w:before="0" w:after="0" w:line="240" w:lineRule="auto"/>
              <w:jc w:val="left"/>
            </w:pPr>
            <w:r>
              <w:rPr>
                <w:rFonts w:ascii="Aptos" w:hAnsi="Aptos"/>
                <w:color w:val="172033"/>
                <w:sz w:val="15"/>
              </w:rPr>
              <w:t>Confirm and document payment-entry timing</w:t>
            </w:r>
          </w:p>
        </w:tc>
        <w:tc>
          <w:tcPr>
            <w:tcW w:type="dxa" w:w="2304"/>
            <w:tcMar>
              <w:top w:w="80" w:type="dxa"/>
              <w:start w:w="90" w:type="dxa"/>
              <w:bottom w:w="80" w:type="dxa"/>
              <w:end w:w="90" w:type="dxa"/>
            </w:tcMar>
            <w:vAlign w:val="center"/>
          </w:tcPr>
          <w:p>
            <w:pPr>
              <w:spacing w:before="0" w:after="0" w:line="240" w:lineRule="auto"/>
              <w:jc w:val="left"/>
            </w:pPr>
            <w:r>
              <w:rPr>
                <w:rFonts w:ascii="Aptos" w:hAnsi="Aptos"/>
                <w:color w:val="172033"/>
                <w:sz w:val="15"/>
              </w:rPr>
              <w:t>accounting/Treasury documentation and tests; code only if Finance chooses FPD wording</w:t>
            </w:r>
          </w:p>
        </w:tc>
        <w:tc>
          <w:tcPr>
            <w:tcW w:type="dxa" w:w="4104"/>
            <w:tcMar>
              <w:top w:w="80" w:type="dxa"/>
              <w:start w:w="90" w:type="dxa"/>
              <w:bottom w:w="80" w:type="dxa"/>
              <w:end w:w="90" w:type="dxa"/>
            </w:tcMar>
            <w:vAlign w:val="center"/>
          </w:tcPr>
          <w:p>
            <w:pPr>
              <w:spacing w:before="0" w:after="0" w:line="240" w:lineRule="auto"/>
              <w:jc w:val="left"/>
            </w:pPr>
            <w:r>
              <w:rPr>
                <w:rFonts w:ascii="Aptos" w:hAnsi="Aptos"/>
                <w:color w:val="172033"/>
                <w:sz w:val="15"/>
              </w:rPr>
              <w:t>Current code follows the safer newer logic: TXT_GENERADO ≠ PAGADO, and payment posting occurs after real bank execution. This should be formally approved as the final accounting rule.</w:t>
            </w:r>
          </w:p>
        </w:tc>
        <w:tc>
          <w:tcPr>
            <w:tcW w:type="dxa" w:w="1008"/>
            <w:tcMar>
              <w:top w:w="80" w:type="dxa"/>
              <w:start w:w="90" w:type="dxa"/>
              <w:bottom w:w="80" w:type="dxa"/>
              <w:end w:w="90" w:type="dxa"/>
            </w:tcMar>
            <w:vAlign w:val="center"/>
          </w:tcPr>
          <w:p>
            <w:pPr>
              <w:spacing w:before="0" w:after="0" w:line="240" w:lineRule="auto"/>
              <w:jc w:val="left"/>
            </w:pPr>
            <w:r>
              <w:rPr>
                <w:rFonts w:ascii="Aptos" w:hAnsi="Aptos"/>
                <w:color w:val="172033"/>
                <w:sz w:val="15"/>
              </w:rPr>
              <w:t>Decision</w:t>
            </w:r>
          </w:p>
        </w:tc>
      </w:tr>
      <w:tr>
        <w:trPr>
          <w:cantSplit/>
        </w:trPr>
        <w:tc>
          <w:tcPr>
            <w:tcW w:type="dxa" w:w="720"/>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5"/>
              </w:rPr>
              <w:t>C-10</w:t>
            </w:r>
          </w:p>
        </w:tc>
        <w:tc>
          <w:tcPr>
            <w:tcW w:type="dxa" w:w="2088"/>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5"/>
              </w:rPr>
              <w:t>Replace demo CeCos with validated UMA Cost Center master and employee default-CeCo mapping</w:t>
            </w:r>
          </w:p>
        </w:tc>
        <w:tc>
          <w:tcPr>
            <w:tcW w:type="dxa" w:w="2304"/>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5"/>
              </w:rPr>
              <w:t>backend/src/models/CostCenter.js; backend/src/models/User.js; master-data/import service; Admin user/Cost Center UI</w:t>
            </w:r>
          </w:p>
        </w:tc>
        <w:tc>
          <w:tcPr>
            <w:tcW w:type="dxa" w:w="4104"/>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5"/>
              </w:rPr>
              <w:t>The real Treasury workbook provides the organizational CeCo assignments needed for production. Importing a validated master will allow requests to default to the correct requester CeCo, enforce authorized CeCo scope, and make budget/accounting reports use institutional codes instead of demo values. Raw DNI should not be exposed in normal UI and should only be retained if UMA formally requires it.</w:t>
            </w:r>
          </w:p>
        </w:tc>
        <w:tc>
          <w:tcPr>
            <w:tcW w:type="dxa" w:w="1008"/>
            <w:tcMar>
              <w:top w:w="80" w:type="dxa"/>
              <w:start w:w="90" w:type="dxa"/>
              <w:bottom w:w="80" w:type="dxa"/>
              <w:end w:w="90" w:type="dxa"/>
            </w:tcMar>
            <w:vAlign w:val="center"/>
          </w:tcPr>
          <w:p>
            <w:pPr>
              <w:spacing w:before="0" w:after="0" w:line="240" w:lineRule="auto"/>
              <w:jc w:val="left"/>
            </w:pPr>
            <w:pPr>
              <w:jc w:val="left"/>
            </w:pPr>
            <w:r>
              <w:rPr>
                <w:rFonts w:ascii="Aptos" w:hAnsi="Aptos"/>
                <w:color w:val="172033"/>
                <w:sz w:val="15"/>
              </w:rPr>
              <w:t>P0 / Validation</w:t>
            </w:r>
          </w:p>
        </w:tc>
      </w:tr>
    </w:tbl>
    <w:p>
      <w:pPr>
        <w:spacing w:after="20"/>
      </w:pPr>
    </w:p>
    <w:p>
      <w:pPr>
        <w:pStyle w:val="Heading2"/>
        <w:keepNext/>
        <w:spacing w:before="180" w:after="80"/>
      </w:pPr>
      <w:r>
        <w:rPr>
          <w:rFonts w:ascii="Arial" w:hAnsi="Arial"/>
          <w:b/>
          <w:color w:val="007FFF"/>
          <w:sz w:val="24"/>
        </w:rPr>
        <w:t>5.1 What Should Not Be Regressed</w:t>
      </w:r>
    </w:p>
    <w:p>
      <w:pPr>
        <w:pStyle w:val="ListBullet"/>
        <w:spacing w:before="0" w:after="40" w:line="259" w:lineRule="auto"/>
        <w:ind w:left="317" w:hanging="173"/>
      </w:pPr>
      <w:r>
        <w:rPr>
          <w:rFonts w:ascii="Arial" w:hAnsi="Arial"/>
          <w:color w:val="172033"/>
          <w:sz w:val="20"/>
        </w:rPr>
        <w:t>Keep TXT_GENERADO separate from PAGADO. File creation is an instruction, not proof of bank execution.</w:t>
      </w:r>
    </w:p>
    <w:p>
      <w:pPr>
        <w:pStyle w:val="ListBullet"/>
        <w:spacing w:before="0" w:after="40" w:line="259" w:lineRule="auto"/>
        <w:ind w:left="317" w:hanging="173"/>
      </w:pPr>
      <w:r>
        <w:rPr>
          <w:rFonts w:ascii="Arial" w:hAnsi="Arial"/>
          <w:color w:val="172033"/>
          <w:sz w:val="20"/>
        </w:rPr>
        <w:t>Keep actual payment confirmation requiring operation number, actual payment date and confirmed amount.</w:t>
      </w:r>
    </w:p>
    <w:p>
      <w:pPr>
        <w:pStyle w:val="ListBullet"/>
        <w:spacing w:before="0" w:after="40" w:line="259" w:lineRule="auto"/>
        <w:ind w:left="317" w:hanging="173"/>
      </w:pPr>
      <w:r>
        <w:rPr>
          <w:rFonts w:ascii="Arial" w:hAnsi="Arial"/>
          <w:color w:val="172033"/>
          <w:sz w:val="20"/>
        </w:rPr>
        <w:t>Keep duplicate fiscal-voucher protection.</w:t>
      </w:r>
    </w:p>
    <w:p>
      <w:pPr>
        <w:pStyle w:val="ListBullet"/>
        <w:spacing w:before="0" w:after="40" w:line="259" w:lineRule="auto"/>
        <w:ind w:left="317" w:hanging="173"/>
      </w:pPr>
      <w:r>
        <w:rPr>
          <w:rFonts w:ascii="Arial" w:hAnsi="Arial"/>
          <w:color w:val="172033"/>
          <w:sz w:val="20"/>
        </w:rPr>
        <w:t>Keep CeCo + expense type/accounting dimension mandatory at line/accounting level.</w:t>
      </w:r>
    </w:p>
    <w:p>
      <w:pPr>
        <w:pStyle w:val="ListBullet"/>
        <w:spacing w:before="0" w:after="40" w:line="259" w:lineRule="auto"/>
        <w:ind w:left="317" w:hanging="173"/>
      </w:pPr>
      <w:r>
        <w:rPr>
          <w:rFonts w:ascii="Arial" w:hAnsi="Arial"/>
          <w:color w:val="172033"/>
          <w:sz w:val="20"/>
        </w:rPr>
        <w:t>Keep accounting-period closing controls and month-end consolidation checks.</w:t>
      </w:r>
    </w:p>
    <w:p>
      <w:pPr>
        <w:pStyle w:val="ListBullet"/>
        <w:spacing w:before="0" w:after="40" w:line="259" w:lineRule="auto"/>
        <w:ind w:left="317" w:hanging="173"/>
      </w:pPr>
      <w:r>
        <w:rPr>
          <w:rFonts w:ascii="Arial" w:hAnsi="Arial"/>
          <w:color w:val="172033"/>
          <w:sz w:val="20"/>
        </w:rPr>
        <w:t>Keep supplier RUC/DNI uniqueness and bank-account history rather than destructive overwriting.</w:t>
      </w:r>
    </w:p>
    <w:p>
      <w:pPr>
        <w:pStyle w:val="ListBullet"/>
        <w:spacing w:before="0" w:after="40" w:line="259" w:lineRule="auto"/>
        <w:ind w:left="317" w:hanging="173"/>
      </w:pPr>
      <w:r>
        <w:rPr>
          <w:rFonts w:ascii="Arial" w:hAnsi="Arial"/>
          <w:color w:val="172033"/>
          <w:sz w:val="20"/>
        </w:rPr>
        <w:t>Keep budget release/rollback when an eligible request is cancelled or annulled.</w:t>
      </w:r>
    </w:p>
    <w:p>
      <w:pPr>
        <w:pStyle w:val="ListBullet"/>
        <w:spacing w:before="0" w:after="40" w:line="259" w:lineRule="auto"/>
        <w:ind w:left="317" w:hanging="173"/>
      </w:pPr>
      <w:r>
        <w:rPr>
          <w:rFonts w:ascii="Arial" w:hAnsi="Arial"/>
          <w:color w:val="172033"/>
          <w:sz w:val="20"/>
        </w:rPr>
        <w:t>Keep append-only audit behavior and state-transition history.</w:t>
      </w:r>
    </w:p>
    <w:p>
      <w:pPr>
        <w:pStyle w:val="Heading1"/>
        <w:keepNext/>
        <w:spacing w:before="240" w:after="120"/>
      </w:pPr>
      <w:r>
        <w:rPr>
          <w:rFonts w:ascii="Arial" w:hAnsi="Arial"/>
          <w:b/>
          <w:color w:val="0A3D62"/>
          <w:sz w:val="30"/>
        </w:rPr>
        <w:t>6. Open Decisions / Doubts Requiring UMA Confirmation</w:t>
      </w:r>
    </w:p>
    <w:p>
      <w:pPr>
        <w:spacing w:before="0" w:after="100" w:line="259" w:lineRule="auto"/>
      </w:pPr>
      <w:r>
        <w:rPr>
          <w:rFonts w:ascii="Arial" w:hAnsi="Arial"/>
          <w:color w:val="172033"/>
          <w:sz w:val="21"/>
        </w:rPr>
        <w:t>These are not coding uncertainties. They are business-policy decisions that affect the correct implementation. Development can proceed safely once the responsible UMA area confirms them.</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blHeader w:val="true"/>
        </w:trPr>
        <w:tc>
          <w:tcPr>
            <w:tcW w:type="dxa" w:w="72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ID</w:t>
            </w:r>
          </w:p>
        </w:tc>
        <w:tc>
          <w:tcPr>
            <w:tcW w:type="dxa" w:w="288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Decision needed</w:t>
            </w:r>
          </w:p>
        </w:tc>
        <w:tc>
          <w:tcPr>
            <w:tcW w:type="dxa" w:w="3384"/>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Why it matters</w:t>
            </w:r>
          </w:p>
        </w:tc>
        <w:tc>
          <w:tcPr>
            <w:tcW w:type="dxa" w:w="3384"/>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Recommended default</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Q-01</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What are the official business definitions/names for tracks A1, A2, B and C?</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The code uses these tracks extensively, but the SRS does not formally define this four-track model.</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Retain current technical meanings until Finance confirms official labels.</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Q-02</w:t>
            </w:r>
          </w:p>
        </w:tc>
        <w:tc>
          <w:tcPr>
            <w:tcW w:type="dxa" w:w="28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Should Track B always require Vice Rector approval, or is Director-only express approval officially authorized?</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This directly changes approval control and segregation of duties.</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If no formal exception exists, use Director → Vice Rector.</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Q-03</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At which phase is each document mandatory?</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Example: 3 quotations are available before purchase; an invoice and conformity may only exist after the PO/service is delivered.</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Use phase-based rules: Submission, Procurement, Invoice Registration, Accounting/Rendition.</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Q-04</w:t>
            </w:r>
          </w:p>
        </w:tc>
        <w:tc>
          <w:tcPr>
            <w:tcW w:type="dxa" w:w="28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Is UMA currently operating Budget Phase 1 (informational) or Phase 2 (blocking)?</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The SRS explicitly supports two operating stages; the production blocking behavior depends on the active phase.</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Make budget mode configurable and record the effective date.</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Q-05</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Who has final authority for extraordinary budget exceptions: Rectorate, General Management, or either depending on amount/type?</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Current code authorizes Admin/Budget; SRS names Rectorate/General Management.</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Create configurable approval rules by amount/area/type.</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Q-06</w:t>
            </w:r>
          </w:p>
        </w:tc>
        <w:tc>
          <w:tcPr>
            <w:tcW w:type="dxa" w:w="2880"/>
            <w:tcMar>
              <w:top w:w="80" w:type="dxa"/>
              <w:start w:w="90" w:type="dxa"/>
              <w:bottom w:w="80" w:type="dxa"/>
              <w:end w:w="90" w:type="dxa"/>
            </w:tcMar>
            <w:vAlign w:val="center"/>
            <w:shd w:fill="FAFCFE"/>
          </w:tcPr>
          <w:p>
            <w:pPr>
              <w:spacing w:after="0" w:before="0" w:line="240" w:lineRule="auto"/>
            </w:pPr>
            <w:r>
              <w:rPr>
                <w:rFonts w:ascii="Aptos" w:hAnsi="Aptos"/>
                <w:sz w:val="15"/>
              </w:rPr>
            </w:r>
            <w:r>
              <w:rPr>
                <w:rFonts w:ascii="Aptos" w:hAnsi="Aptos"/>
                <w:sz w:val="15"/>
              </w:rPr>
              <w:t>Does the BBVA supplier-payment file support beneficiaries at non-BBVA banks through CCI/interbank transfer, and are any destination-bank restrictions required?</w:t>
            </w:r>
          </w:p>
        </w:tc>
        <w:tc>
          <w:tcPr>
            <w:tcW w:type="dxa" w:w="3384"/>
            <w:tcMar>
              <w:top w:w="80" w:type="dxa"/>
              <w:start w:w="90" w:type="dxa"/>
              <w:bottom w:w="80" w:type="dxa"/>
              <w:end w:w="90" w:type="dxa"/>
            </w:tcMar>
            <w:vAlign w:val="center"/>
            <w:shd w:fill="FAFCFE"/>
          </w:tcPr>
          <w:p>
            <w:pPr>
              <w:spacing w:after="0" w:before="0" w:line="240" w:lineRule="auto"/>
            </w:pPr>
            <w:r>
              <w:rPr>
                <w:rFonts w:ascii="Aptos" w:hAnsi="Aptos"/>
                <w:sz w:val="15"/>
              </w:rPr>
            </w:r>
            <w:r>
              <w:rPr>
                <w:rFonts w:ascii="Aptos" w:hAnsi="Aptos"/>
                <w:sz w:val="15"/>
              </w:rPr>
              <w:t>UMA has confirmed that outgoing Treasury payments are made from BBVA only, so no additional source-bank formats are required. The remaining banking question is whether supplier destination accounts may belong to any bank (using CCI/interbank transfer) or whether Finance applies destination-bank restrictions.</w:t>
            </w:r>
          </w:p>
        </w:tc>
        <w:tc>
          <w:tcPr>
            <w:tcW w:type="dxa" w:w="3384"/>
            <w:tcMar>
              <w:top w:w="80" w:type="dxa"/>
              <w:start w:w="90" w:type="dxa"/>
              <w:bottom w:w="80" w:type="dxa"/>
              <w:end w:w="90" w:type="dxa"/>
            </w:tcMar>
            <w:vAlign w:val="center"/>
            <w:shd w:fill="FAFCFE"/>
          </w:tcPr>
          <w:p>
            <w:pPr>
              <w:spacing w:after="0" w:before="0" w:line="240" w:lineRule="auto"/>
            </w:pPr>
            <w:r>
              <w:rPr>
                <w:rFonts w:ascii="Aptos" w:hAnsi="Aptos"/>
                <w:sz w:val="15"/>
              </w:rPr>
            </w:r>
            <w:r>
              <w:rPr>
                <w:rFonts w:ascii="Aptos" w:hAnsi="Aptos"/>
                <w:sz w:val="15"/>
              </w:rPr>
              <w:t>Implement only the BBVA payment generator. Keep supplier bank/CCI master data flexible unless Finance explicitly restricts beneficiary destination banks. Disable or hide BCP, Interbank and Scotiabank as Treasury source/payment-bank options in production.</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Q-07</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What is the official exchange-rate date rule?</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SUNAT selling rate can be selected by invoice date, accounting date or another institutional rule.</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Default to fiscal-document/accounting date unless Finance specifies otherwise; store source, date and rate.</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Q-08</w:t>
            </w:r>
          </w:p>
        </w:tc>
        <w:tc>
          <w:tcPr>
            <w:tcW w:type="dxa" w:w="28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If SUNAT rate is unavailable on a holiday/weekend, what fallback is allowed?</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A fallback policy is required for deterministic accounting and budget conversion.</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Use the latest valid prior SUNAT selling rate; any non-SUNAT fallback should require explicit review.</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Q-09</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Does UMA need SIRE/RCE CSV preparation only, or direct SUNAT submission later?</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Current provider explicitly supports preparation/export only.</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Keep export-first for go-live; design provider abstraction for future direct submission.</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Q-10</w:t>
            </w:r>
          </w:p>
        </w:tc>
        <w:tc>
          <w:tcPr>
            <w:tcW w:type="dxa" w:w="2880"/>
            <w:tcMar>
              <w:top w:w="80" w:type="dxa"/>
              <w:start w:w="90" w:type="dxa"/>
              <w:bottom w:w="80" w:type="dxa"/>
              <w:end w:w="90" w:type="dxa"/>
            </w:tcMar>
            <w:vAlign w:val="center"/>
            <w:shd w:fill="FAFCFE"/>
          </w:tcPr>
          <w:p>
            <w:pPr>
              <w:spacing w:after="0" w:before="0" w:line="240" w:lineRule="auto"/>
            </w:pPr>
            <w:r>
              <w:rPr>
                <w:rFonts w:ascii="Aptos" w:hAnsi="Aptos"/>
                <w:sz w:val="15"/>
              </w:rPr>
              <w:t>Confirm the recommended parent/child status policy for multi-invoice and Track C flows.</w:t>
            </w:r>
          </w:p>
        </w:tc>
        <w:tc>
          <w:tcPr>
            <w:tcW w:type="dxa" w:w="3384"/>
            <w:tcMar>
              <w:top w:w="80" w:type="dxa"/>
              <w:start w:w="90" w:type="dxa"/>
              <w:bottom w:w="80" w:type="dxa"/>
              <w:end w:w="90" w:type="dxa"/>
            </w:tcMar>
            <w:vAlign w:val="center"/>
            <w:shd w:fill="FAFCFE"/>
          </w:tcPr>
          <w:p>
            <w:pPr>
              <w:spacing w:after="0" w:before="0" w:line="240" w:lineRule="auto"/>
            </w:pPr>
            <w:r>
              <w:rPr>
                <w:rFonts w:ascii="Aptos" w:hAnsi="Aptos"/>
                <w:sz w:val="15"/>
              </w:rPr>
              <w:t>A request can have several invoices/CXPs in different payment stages, and a Track C advance can be paid while its rendition is still pending. A single manually edited status field cannot represent these facts safely.</w:t>
            </w:r>
          </w:p>
        </w:tc>
        <w:tc>
          <w:tcPr>
            <w:tcW w:type="dxa" w:w="3384"/>
            <w:tcMar>
              <w:top w:w="80" w:type="dxa"/>
              <w:start w:w="90" w:type="dxa"/>
              <w:bottom w:w="80" w:type="dxa"/>
              <w:end w:w="90" w:type="dxa"/>
            </w:tcMar>
            <w:vAlign w:val="center"/>
            <w:shd w:fill="FAFCFE"/>
          </w:tcPr>
          <w:p>
            <w:pPr>
              <w:spacing w:after="0" w:before="0" w:line="240" w:lineRule="auto"/>
            </w:pPr>
            <w:r>
              <w:rPr>
                <w:rFonts w:ascii="Aptos" w:hAnsi="Aptos"/>
                <w:sz w:val="15"/>
              </w:rPr>
              <w:t>Adopt the recommended model: core request state = highest milestone fully completed by all applicable active child obligations; partial payment/accounting progress is derived; Track C rendition is a separate dependent status. No normal user manually selects workflow states.</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Q-11</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What SLA alerts are required and who receives them?</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SRS requires automatic alerts but does not define channels/escalation thresholds.</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At minimum: due soon, overdue, overdue +24h; notify active approver and optionally management.</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Q-12</w:t>
            </w:r>
          </w:p>
        </w:tc>
        <w:tc>
          <w:tcPr>
            <w:tcW w:type="dxa" w:w="28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Is “Reembolso sin Sustento” actually allowed in production?</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The FPD data model mentions it, while the SRS emphasizes validated supporting evidence for reimbursement/liquidation.</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Disable or tightly restrict it unless Finance provides an approved exception policy.</w:t>
            </w:r>
          </w:p>
        </w:tc>
      </w:tr>
      <w:tr>
        <w:trPr>
          <w:cantSplit/>
        </w:trPr>
        <w:tc>
          <w:tcPr>
            <w:tcW w:type="dxa" w:w="720"/>
            <w:tcMar>
              <w:top w:w="80" w:type="dxa"/>
              <w:start w:w="90" w:type="dxa"/>
              <w:bottom w:w="80" w:type="dxa"/>
              <w:end w:w="90" w:type="dxa"/>
            </w:tcMar>
            <w:vAlign w:val="center"/>
          </w:tcPr>
          <w:p>
            <w:pPr>
              <w:spacing w:before="0" w:after="0" w:line="240" w:lineRule="auto"/>
              <w:jc w:val="left"/>
            </w:pPr>
            <w:r>
              <w:rPr>
                <w:rFonts w:ascii="Aptos" w:hAnsi="Aptos"/>
                <w:color w:val="172033"/>
                <w:sz w:val="15"/>
              </w:rPr>
              <w:t>Q-13</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5"/>
              </w:rPr>
              <w:t>Who formally owns Purchase Order issuance in UMA: Budget, Procurement/Compras, or another role?</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Current route allows Admin/Budget to create the procurement order; operational ownership should reflect the real organization.</w:t>
            </w:r>
          </w:p>
        </w:tc>
        <w:tc>
          <w:tcPr>
            <w:tcW w:type="dxa" w:w="3384"/>
            <w:tcMar>
              <w:top w:w="80" w:type="dxa"/>
              <w:start w:w="90" w:type="dxa"/>
              <w:bottom w:w="80" w:type="dxa"/>
              <w:end w:w="90" w:type="dxa"/>
            </w:tcMar>
            <w:vAlign w:val="center"/>
          </w:tcPr>
          <w:p>
            <w:pPr>
              <w:spacing w:before="0" w:after="0" w:line="240" w:lineRule="auto"/>
              <w:jc w:val="left"/>
            </w:pPr>
            <w:r>
              <w:rPr>
                <w:rFonts w:ascii="Aptos" w:hAnsi="Aptos"/>
                <w:color w:val="172033"/>
                <w:sz w:val="15"/>
              </w:rPr>
              <w:t>Confirm role and adjust authorization only if necessary.</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Q-14</w:t>
            </w:r>
          </w:p>
        </w:tc>
        <w:tc>
          <w:tcPr>
            <w:tcW w:type="dxa" w:w="28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Should the accounting payment entry be created at TXT generation or after confirmed bank execution?</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FPD wording says TXT generation; SRS/current code separates TXT_GENERADO from PAGADO and posts after real payment.</w:t>
            </w:r>
          </w:p>
        </w:tc>
        <w:tc>
          <w:tcPr>
            <w:tcW w:type="dxa" w:w="3384"/>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Recommend retaining current SRS-aligned behavior: post payment only after bank confirmation.</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Q-15</w:t>
            </w:r>
          </w:p>
        </w:tc>
        <w:tc>
          <w:tcPr>
            <w:tcW w:type="dxa" w:w="28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Is Centro de Costo - Tesoreria.xlsx the current authoritative master for production CeCo assignments, and what is its effective date?</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The system should not replace master data from a spreadsheet unless Finance/Treasury confirms that the file is current and authoritative.</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Treat it as the pilot/import source after Treasury/Finance confirms ownership and effective date; record import source/version.</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Q-16</w:t>
            </w:r>
          </w:p>
        </w:tc>
        <w:tc>
          <w:tcPr>
            <w:tcW w:type="dxa" w:w="28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Should each employee have exactly one default CeCo, with additional CeCos granted only through authorizedCostCenters?</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The backend already supports one default User.costCenter plus multiple authorizedCostCenters. This determines what a requester can select and what defaults on a new request.</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Use the workbook assignment as the default CeCo and maintain any additional allowed CeCos explicitly as authorizedCostCenters.</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Q-17</w:t>
            </w:r>
          </w:p>
        </w:tc>
        <w:tc>
          <w:tcPr>
            <w:tcW w:type="dxa" w:w="28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How should ambiguous hierarchy mappings in the workbook be resolved before import?</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Examples observed include CeCo 30004 under organic-unit codes 20011 and 20012; CeCo 40020 under 20005 and 20009; CeCo 50103 with different area labels; naming variation under 20007; and the Rectorado/CeCo 20002 row mapped to organic unit 20009. These may be valid organizational exceptions or source-data issues.</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Finance/HR/Treasury should provide the canonical CeCo → Area → Organic Unit mapping or explicitly approve multi-parent exceptions. Do not auto-correct the spreadsheet.</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Q-18</w:t>
            </w:r>
          </w:p>
        </w:tc>
        <w:tc>
          <w:tcPr>
            <w:tcW w:type="dxa" w:w="28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Does UMA require DNI to be stored permanently in the ERP user master?</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The workbook uses DNI to identify employees, while the current User model uses employeeCode/email and does not require a DNI field. Permanent DNI storage increases personal-data handling requirements.</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Use DNI only as a restricted migration/matching key unless there is an approved business requirement to retain it; prefer employeeCode/email for ongoing user identity.</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Q-19</w:t>
            </w:r>
          </w:p>
        </w:tc>
        <w:tc>
          <w:tcPr>
            <w:tcW w:type="dxa" w:w="28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Are the supplied BBVA PEN/USD files confirmed by Treasury/Finance as the current bank-accepted production reference, and can BBVA/Finance provide the field layout or field dictionary?</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The samples establish exact record shape, but a single pair of files cannot safely prove which header/detail positions are constants, account identifiers, dates, document types or other dynamic fields. Payment-file semantics should not be reverse-engineered by guesswork.</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Use the samples as the structural source of truth and regression fixtures now; before enabling CERTIFIED mode, obtain written confirmation and preferably the BBVA field specification or a Finance-approved mapping of every position.</w:t>
            </w:r>
          </w:p>
        </w:tc>
      </w:tr>
      <w:tr>
        <w:trPr>
          <w:cantSplit/>
        </w:trPr>
        <w:tc>
          <w:tcPr>
            <w:tcW w:type="dxa" w:w="72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Q-20</w:t>
            </w:r>
          </w:p>
        </w:tc>
        <w:tc>
          <w:tcPr>
            <w:tcW w:type="dxa" w:w="28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What exact BBVA encoding, line-ending and filename rules must the system preserve?</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The supplied files are byte-sensitive fixed-width records. Observed accented bytes are consistent with a single-byte Latin/ANSI encoding rather than UTF-8, and the supplied files use LF separators. UTF-8 or different newline handling can change byte positions and cause bank rejection.</w:t>
            </w:r>
          </w:p>
        </w:tc>
        <w:tc>
          <w:tcPr>
            <w:tcW w:type="dxa" w:w="3384"/>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Until BBVA states otherwise, reproduce the observed byte lengths and use an explicitly configured single-byte encoding compatible with the samples. Confirm encoding, newline convention and filename pattern with Treasury/BBVA before production certification.</w:t>
            </w:r>
          </w:p>
        </w:tc>
      </w:tr>
      <w:tr>
        <w:tc>
          <w:tcPr>
            <w:tcW w:type="dxa" w:w="720"/>
            <w:tcMar>
              <w:top w:w="80" w:type="dxa"/>
              <w:start w:w="90" w:type="dxa"/>
              <w:bottom w:w="80" w:type="dxa"/>
              <w:end w:w="90" w:type="dxa"/>
            </w:tcMar>
            <w:vAlign w:val="center"/>
          </w:tcPr>
          <w:p>
            <w:pPr>
              <w:spacing w:after="0" w:before="0" w:line="240" w:lineRule="auto"/>
            </w:pPr>
            <w:r>
              <w:rPr>
                <w:rFonts w:ascii="Aptos" w:hAnsi="Aptos"/>
                <w:sz w:val="15"/>
              </w:rPr>
              <w:t>Q-21</w:t>
            </w:r>
          </w:p>
        </w:tc>
        <w:tc>
          <w:tcPr>
            <w:tcW w:type="dxa" w:w="2880"/>
            <w:tcMar>
              <w:top w:w="80" w:type="dxa"/>
              <w:start w:w="90" w:type="dxa"/>
              <w:bottom w:w="80" w:type="dxa"/>
              <w:end w:w="90" w:type="dxa"/>
            </w:tcMar>
            <w:vAlign w:val="center"/>
          </w:tcPr>
          <w:p>
            <w:pPr>
              <w:spacing w:after="0" w:before="0" w:line="240" w:lineRule="auto"/>
            </w:pPr>
            <w:r>
              <w:rPr>
                <w:rFonts w:ascii="Aptos" w:hAnsi="Aptos"/>
                <w:sz w:val="15"/>
              </w:rPr>
              <w:t>Should any role be allowed to manually override a workflow status?</w:t>
            </w:r>
          </w:p>
        </w:tc>
        <w:tc>
          <w:tcPr>
            <w:tcW w:type="dxa" w:w="3384"/>
            <w:tcMar>
              <w:top w:w="80" w:type="dxa"/>
              <w:start w:w="90" w:type="dxa"/>
              <w:bottom w:w="80" w:type="dxa"/>
              <w:end w:w="90" w:type="dxa"/>
            </w:tcMar>
            <w:vAlign w:val="center"/>
          </w:tcPr>
          <w:p>
            <w:pPr>
              <w:spacing w:after="0" w:before="0" w:line="240" w:lineRule="auto"/>
            </w:pPr>
            <w:r>
              <w:rPr>
                <w:rFonts w:ascii="Aptos" w:hAnsi="Aptos"/>
                <w:sz w:val="15"/>
              </w:rPr>
              <w:t>Manual status editing can bypass approvals, budget commitment, accounting evidence or bank confirmation and can make audit history unreliable.</w:t>
            </w:r>
          </w:p>
        </w:tc>
        <w:tc>
          <w:tcPr>
            <w:tcW w:type="dxa" w:w="3384"/>
            <w:tcMar>
              <w:top w:w="80" w:type="dxa"/>
              <w:start w:w="90" w:type="dxa"/>
              <w:bottom w:w="80" w:type="dxa"/>
              <w:end w:w="90" w:type="dxa"/>
            </w:tcMar>
            <w:vAlign w:val="center"/>
          </w:tcPr>
          <w:p>
            <w:pPr>
              <w:spacing w:after="0" w:before="0" w:line="240" w:lineRule="auto"/>
            </w:pPr>
            <w:r>
              <w:rPr>
                <w:rFonts w:ascii="Aptos" w:hAnsi="Aptos"/>
                <w:sz w:val="15"/>
              </w:rPr>
              <w:t>No normal operational role should have a status dropdown/override. If an emergency administrative repair tool is ever required, restrict it to a dedicated recovery permission, require reason/evidence, write an immutable audit event, and never allow PAGADO or CONCILIADO without the underlying bank/reconciliation evidence.</w:t>
            </w:r>
          </w:p>
        </w:tc>
      </w:tr>
    </w:tbl>
    <w:p>
      <w:pPr>
        <w:spacing w:after="20"/>
      </w:pPr>
    </w:p>
    <w:p>
      <w:pPr>
        <w:pStyle w:val="Heading1"/>
        <w:keepNext/>
        <w:spacing w:before="240" w:after="120"/>
      </w:pPr>
      <w:r>
        <w:rPr>
          <w:rFonts w:ascii="Arial" w:hAnsi="Arial"/>
          <w:b/>
          <w:color w:val="0A3D62"/>
          <w:sz w:val="30"/>
        </w:rPr>
        <w:t>7. Functional &amp; Technical Requirements for the Change Phase</w:t>
      </w:r>
    </w:p>
    <w:p>
      <w:pPr>
        <w:spacing w:before="0" w:after="100" w:line="259" w:lineRule="auto"/>
      </w:pPr>
      <w:r>
        <w:rPr>
          <w:rFonts w:ascii="Arial" w:hAnsi="Arial"/>
          <w:color w:val="172033"/>
          <w:sz w:val="21"/>
        </w:rPr>
        <w:t>The following requirements can be used as acceptance criteria for the next development phase. They deliberately separate required behavior from implementation detail.</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792"/>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ID</w:t>
            </w:r>
          </w:p>
        </w:tc>
        <w:tc>
          <w:tcPr>
            <w:tcW w:type="dxa" w:w="2232"/>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Requirement</w:t>
            </w:r>
          </w:p>
        </w:tc>
        <w:tc>
          <w:tcPr>
            <w:tcW w:type="dxa" w:w="4968"/>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Acceptance criteria</w:t>
            </w:r>
          </w:p>
        </w:tc>
        <w:tc>
          <w:tcPr>
            <w:tcW w:type="dxa" w:w="1152"/>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Priority</w:t>
            </w:r>
          </w:p>
        </w:tc>
        <w:tc>
          <w:tcPr>
            <w:tcW w:type="dxa" w:w="108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5"/>
              </w:rPr>
              <w:t>Decision</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5"/>
              </w:rPr>
              <w:t>REQ-01</w:t>
            </w:r>
          </w:p>
        </w:tc>
        <w:tc>
          <w:tcPr>
            <w:tcW w:type="dxa" w:w="2232"/>
            <w:tcMar>
              <w:top w:w="80" w:type="dxa"/>
              <w:start w:w="90" w:type="dxa"/>
              <w:bottom w:w="80" w:type="dxa"/>
              <w:end w:w="90" w:type="dxa"/>
            </w:tcMar>
            <w:vAlign w:val="center"/>
          </w:tcPr>
          <w:p>
            <w:pPr>
              <w:spacing w:before="0" w:after="0" w:line="240" w:lineRule="auto"/>
              <w:jc w:val="left"/>
            </w:pPr>
            <w:r>
              <w:rPr>
                <w:rFonts w:ascii="Aptos" w:hAnsi="Aptos"/>
                <w:color w:val="172033"/>
                <w:sz w:val="15"/>
              </w:rPr>
              <w:t>Phase-aware document rules</w:t>
            </w:r>
          </w:p>
        </w:tc>
        <w:tc>
          <w:tcPr>
            <w:tcW w:type="dxa" w:w="4968"/>
            <w:tcMar>
              <w:top w:w="80" w:type="dxa"/>
              <w:start w:w="90" w:type="dxa"/>
              <w:bottom w:w="80" w:type="dxa"/>
              <w:end w:w="90" w:type="dxa"/>
            </w:tcMar>
            <w:vAlign w:val="center"/>
          </w:tcPr>
          <w:p>
            <w:pPr>
              <w:spacing w:before="0" w:after="0" w:line="240" w:lineRule="auto"/>
              <w:jc w:val="left"/>
            </w:pPr>
            <w:r>
              <w:rPr>
                <w:rFonts w:ascii="Aptos" w:hAnsi="Aptos"/>
                <w:color w:val="172033"/>
                <w:sz w:val="15"/>
              </w:rPr>
              <w:t>System shall determine mandatory documents from request type/expense nature/flow and current phase. Configured rules must not be bypassed merely because flowType exists. UI shall show missing requirements and backend shall enforce them at the correct gate.</w:t>
            </w:r>
          </w:p>
        </w:tc>
        <w:tc>
          <w:tcPr>
            <w:tcW w:type="dxa" w:w="1152"/>
            <w:tcMar>
              <w:top w:w="80" w:type="dxa"/>
              <w:start w:w="90" w:type="dxa"/>
              <w:bottom w:w="80" w:type="dxa"/>
              <w:end w:w="90" w:type="dxa"/>
            </w:tcMar>
            <w:vAlign w:val="center"/>
          </w:tcPr>
          <w:p>
            <w:pPr>
              <w:spacing w:before="0" w:after="0" w:line="240" w:lineRule="auto"/>
              <w:jc w:val="left"/>
            </w:pPr>
            <w:r>
              <w:rPr>
                <w:rFonts w:ascii="Aptos" w:hAnsi="Aptos"/>
                <w:color w:val="172033"/>
                <w:sz w:val="15"/>
              </w:rPr>
              <w:t>P0</w:t>
            </w:r>
          </w:p>
        </w:tc>
        <w:tc>
          <w:tcPr>
            <w:tcW w:type="dxa" w:w="1080"/>
            <w:tcMar>
              <w:top w:w="80" w:type="dxa"/>
              <w:start w:w="90" w:type="dxa"/>
              <w:bottom w:w="80" w:type="dxa"/>
              <w:end w:w="90" w:type="dxa"/>
            </w:tcMar>
            <w:vAlign w:val="center"/>
          </w:tcPr>
          <w:p>
            <w:pPr>
              <w:spacing w:before="0" w:after="0" w:line="240" w:lineRule="auto"/>
              <w:jc w:val="left"/>
            </w:pPr>
            <w:r>
              <w:rPr>
                <w:rFonts w:ascii="Aptos" w:hAnsi="Aptos"/>
                <w:color w:val="172033"/>
                <w:sz w:val="15"/>
              </w:rPr>
              <w:t>Q-03</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REQ-02</w:t>
            </w:r>
          </w:p>
        </w:tc>
        <w:tc>
          <w:tcPr>
            <w:tcW w:type="dxa" w:w="223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Track B approval policy</w:t>
            </w:r>
          </w:p>
        </w:tc>
        <w:tc>
          <w:tcPr>
            <w:tcW w:type="dxa" w:w="496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Track B shall use an explicitly configured approval route. If no approved express exception exists, default route shall include Director and Vice Rector. The chosen route must be snapshotted and auditable.</w:t>
            </w:r>
          </w:p>
        </w:tc>
        <w:tc>
          <w:tcPr>
            <w:tcW w:type="dxa" w:w="115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P0</w:t>
            </w:r>
          </w:p>
        </w:tc>
        <w:tc>
          <w:tcPr>
            <w:tcW w:type="dxa" w:w="10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Q-01/Q-02</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5"/>
              </w:rPr>
              <w:t>REQ-03</w:t>
            </w:r>
          </w:p>
        </w:tc>
        <w:tc>
          <w:tcPr>
            <w:tcW w:type="dxa" w:w="2232"/>
            <w:tcMar>
              <w:top w:w="80" w:type="dxa"/>
              <w:start w:w="90" w:type="dxa"/>
              <w:bottom w:w="80" w:type="dxa"/>
              <w:end w:w="90" w:type="dxa"/>
            </w:tcMar>
            <w:vAlign w:val="center"/>
          </w:tcPr>
          <w:p>
            <w:pPr>
              <w:spacing w:before="0" w:after="0" w:line="240" w:lineRule="auto"/>
              <w:jc w:val="left"/>
            </w:pPr>
            <w:r>
              <w:rPr>
                <w:rFonts w:ascii="Aptos" w:hAnsi="Aptos"/>
                <w:color w:val="172033"/>
                <w:sz w:val="15"/>
              </w:rPr>
              <w:t>Authoritative SUNAT FX</w:t>
            </w:r>
          </w:p>
        </w:tc>
        <w:tc>
          <w:tcPr>
            <w:tcW w:type="dxa" w:w="4968"/>
            <w:tcMar>
              <w:top w:w="80" w:type="dxa"/>
              <w:start w:w="90" w:type="dxa"/>
              <w:bottom w:w="80" w:type="dxa"/>
              <w:end w:w="90" w:type="dxa"/>
            </w:tcMar>
            <w:vAlign w:val="center"/>
          </w:tcPr>
          <w:p>
            <w:pPr>
              <w:spacing w:before="0" w:after="0" w:line="240" w:lineRule="auto"/>
              <w:jc w:val="left"/>
            </w:pPr>
            <w:r>
              <w:rPr>
                <w:rFonts w:ascii="Aptos" w:hAnsi="Aptos"/>
                <w:color w:val="172033"/>
                <w:sz w:val="15"/>
              </w:rPr>
              <w:t>USD→PEN official conversion shall use SUNAT selling rate, persisting rate, effective date, source and authoritative flag. Any fallback shall be clearly marked and controlled.</w:t>
            </w:r>
          </w:p>
        </w:tc>
        <w:tc>
          <w:tcPr>
            <w:tcW w:type="dxa" w:w="1152"/>
            <w:tcMar>
              <w:top w:w="80" w:type="dxa"/>
              <w:start w:w="90" w:type="dxa"/>
              <w:bottom w:w="80" w:type="dxa"/>
              <w:end w:w="90" w:type="dxa"/>
            </w:tcMar>
            <w:vAlign w:val="center"/>
          </w:tcPr>
          <w:p>
            <w:pPr>
              <w:spacing w:before="0" w:after="0" w:line="240" w:lineRule="auto"/>
              <w:jc w:val="left"/>
            </w:pPr>
            <w:r>
              <w:rPr>
                <w:rFonts w:ascii="Aptos" w:hAnsi="Aptos"/>
                <w:color w:val="172033"/>
                <w:sz w:val="15"/>
              </w:rPr>
              <w:t>P0</w:t>
            </w:r>
          </w:p>
        </w:tc>
        <w:tc>
          <w:tcPr>
            <w:tcW w:type="dxa" w:w="1080"/>
            <w:tcMar>
              <w:top w:w="80" w:type="dxa"/>
              <w:start w:w="90" w:type="dxa"/>
              <w:bottom w:w="80" w:type="dxa"/>
              <w:end w:w="90" w:type="dxa"/>
            </w:tcMar>
            <w:vAlign w:val="center"/>
          </w:tcPr>
          <w:p>
            <w:pPr>
              <w:spacing w:before="0" w:after="0" w:line="240" w:lineRule="auto"/>
              <w:jc w:val="left"/>
            </w:pPr>
            <w:r>
              <w:rPr>
                <w:rFonts w:ascii="Aptos" w:hAnsi="Aptos"/>
                <w:color w:val="172033"/>
                <w:sz w:val="15"/>
              </w:rPr>
              <w:t>Q-07/Q-08</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REQ-04</w:t>
            </w:r>
          </w:p>
        </w:tc>
        <w:tc>
          <w:tcPr>
            <w:tcW w:type="dxa" w:w="2232"/>
            <w:tcMar>
              <w:top w:w="80" w:type="dxa"/>
              <w:start w:w="90" w:type="dxa"/>
              <w:bottom w:w="80" w:type="dxa"/>
              <w:end w:w="90" w:type="dxa"/>
            </w:tcMar>
            <w:vAlign w:val="center"/>
            <w:shd w:fill="FAFCFE"/>
          </w:tcPr>
          <w:p>
            <w:pPr>
              <w:spacing w:after="0" w:before="0" w:line="240" w:lineRule="auto"/>
            </w:pPr>
            <w:r>
              <w:rPr>
                <w:rFonts w:ascii="Aptos" w:hAnsi="Aptos"/>
                <w:sz w:val="15"/>
              </w:rPr>
              <w:t>Production bank files / BBVA real-format compatibility</w:t>
            </w:r>
          </w:p>
        </w:tc>
        <w:tc>
          <w:tcPr>
            <w:tcW w:type="dxa" w:w="4968"/>
            <w:tcMar>
              <w:top w:w="80" w:type="dxa"/>
              <w:start w:w="90" w:type="dxa"/>
              <w:bottom w:w="80" w:type="dxa"/>
              <w:end w:w="90" w:type="dxa"/>
            </w:tcMar>
            <w:vAlign w:val="center"/>
            <w:shd w:fill="FAFCFE"/>
          </w:tcPr>
          <w:p>
            <w:pPr>
              <w:spacing w:after="0" w:before="0" w:line="240" w:lineRule="auto"/>
            </w:pPr>
            <w:r>
              <w:rPr>
                <w:rFonts w:ascii="Aptos" w:hAnsi="Aptos"/>
                <w:sz w:val="15"/>
              </w:rPr>
            </w:r>
            <w:r>
              <w:rPr>
                <w:rFonts w:ascii="Aptos" w:hAnsi="Aptos"/>
                <w:sz w:val="15"/>
              </w:rPr>
              <w:t>BBVA is the only required Treasury source/payment bank. For BBVA PEN and USD, the generator shall reproduce the supplied UMA fixed-width structure: exactly one 151-byte header plus one 277-byte detail record per payment; no delimiter or column-heading row; header detail-count must equal the emitted detail-record count; header total must reconcile to the sum of detail amounts; currency-specific content must be correct; text padding/truncation and encoding must preserve required byte positions. Golden-file regression tests shall compare generated structure against the supplied samples. CERTIFIED mode shall remain controlled by Finance/bank approval. BCP, Interbank and Scotiabank payment-file generation shall not be exposed as production functionality.</w:t>
            </w:r>
          </w:p>
        </w:tc>
        <w:tc>
          <w:tcPr>
            <w:tcW w:type="dxa" w:w="115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P0</w:t>
            </w:r>
          </w:p>
        </w:tc>
        <w:tc>
          <w:tcPr>
            <w:tcW w:type="dxa" w:w="1080"/>
            <w:tcMar>
              <w:top w:w="80" w:type="dxa"/>
              <w:start w:w="90" w:type="dxa"/>
              <w:bottom w:w="80" w:type="dxa"/>
              <w:end w:w="90" w:type="dxa"/>
            </w:tcMar>
            <w:vAlign w:val="center"/>
            <w:shd w:fill="FAFCFE"/>
          </w:tcPr>
          <w:p>
            <w:pPr>
              <w:spacing w:after="0" w:before="0" w:line="240" w:lineRule="auto"/>
            </w:pPr>
            <w:r>
              <w:rPr>
                <w:rFonts w:ascii="Aptos" w:hAnsi="Aptos"/>
                <w:sz w:val="15"/>
              </w:rPr>
              <w:t>Q-06/Q-19/Q-20</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5"/>
              </w:rPr>
              <w:t>REQ-05</w:t>
            </w:r>
          </w:p>
        </w:tc>
        <w:tc>
          <w:tcPr>
            <w:tcW w:type="dxa" w:w="2232"/>
            <w:tcMar>
              <w:top w:w="80" w:type="dxa"/>
              <w:start w:w="90" w:type="dxa"/>
              <w:bottom w:w="80" w:type="dxa"/>
              <w:end w:w="90" w:type="dxa"/>
            </w:tcMar>
            <w:vAlign w:val="center"/>
          </w:tcPr>
          <w:p>
            <w:pPr>
              <w:spacing w:before="0" w:after="0" w:line="240" w:lineRule="auto"/>
              <w:jc w:val="left"/>
            </w:pPr>
            <w:r>
              <w:rPr>
                <w:rFonts w:ascii="Aptos" w:hAnsi="Aptos"/>
                <w:color w:val="172033"/>
                <w:sz w:val="15"/>
              </w:rPr>
              <w:t>Budget exception segregation</w:t>
            </w:r>
          </w:p>
        </w:tc>
        <w:tc>
          <w:tcPr>
            <w:tcW w:type="dxa" w:w="4968"/>
            <w:tcMar>
              <w:top w:w="80" w:type="dxa"/>
              <w:start w:w="90" w:type="dxa"/>
              <w:bottom w:w="80" w:type="dxa"/>
              <w:end w:w="90" w:type="dxa"/>
            </w:tcMar>
            <w:vAlign w:val="center"/>
          </w:tcPr>
          <w:p>
            <w:pPr>
              <w:spacing w:before="0" w:after="0" w:line="240" w:lineRule="auto"/>
              <w:jc w:val="left"/>
            </w:pPr>
            <w:r>
              <w:rPr>
                <w:rFonts w:ascii="Aptos" w:hAnsi="Aptos"/>
                <w:color w:val="172033"/>
                <w:sz w:val="15"/>
              </w:rPr>
              <w:t>Budget shall prepare/request an exception; extraordinary approval shall be decided by the authorized management role(s), with reason, timestamp and audit trail.</w:t>
            </w:r>
          </w:p>
        </w:tc>
        <w:tc>
          <w:tcPr>
            <w:tcW w:type="dxa" w:w="1152"/>
            <w:tcMar>
              <w:top w:w="80" w:type="dxa"/>
              <w:start w:w="90" w:type="dxa"/>
              <w:bottom w:w="80" w:type="dxa"/>
              <w:end w:w="90" w:type="dxa"/>
            </w:tcMar>
            <w:vAlign w:val="center"/>
          </w:tcPr>
          <w:p>
            <w:pPr>
              <w:spacing w:before="0" w:after="0" w:line="240" w:lineRule="auto"/>
              <w:jc w:val="left"/>
            </w:pPr>
            <w:r>
              <w:rPr>
                <w:rFonts w:ascii="Aptos" w:hAnsi="Aptos"/>
                <w:color w:val="172033"/>
                <w:sz w:val="15"/>
              </w:rPr>
              <w:t>P1</w:t>
            </w:r>
          </w:p>
        </w:tc>
        <w:tc>
          <w:tcPr>
            <w:tcW w:type="dxa" w:w="1080"/>
            <w:tcMar>
              <w:top w:w="80" w:type="dxa"/>
              <w:start w:w="90" w:type="dxa"/>
              <w:bottom w:w="80" w:type="dxa"/>
              <w:end w:w="90" w:type="dxa"/>
            </w:tcMar>
            <w:vAlign w:val="center"/>
          </w:tcPr>
          <w:p>
            <w:pPr>
              <w:spacing w:before="0" w:after="0" w:line="240" w:lineRule="auto"/>
              <w:jc w:val="left"/>
            </w:pPr>
            <w:r>
              <w:rPr>
                <w:rFonts w:ascii="Aptos" w:hAnsi="Aptos"/>
                <w:color w:val="172033"/>
                <w:sz w:val="15"/>
              </w:rPr>
              <w:t>Q-04/Q-05</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REQ-06</w:t>
            </w:r>
          </w:p>
        </w:tc>
        <w:tc>
          <w:tcPr>
            <w:tcW w:type="dxa" w:w="223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Voucher-level SIRE/RCE</w:t>
            </w:r>
          </w:p>
        </w:tc>
        <w:tc>
          <w:tcPr>
            <w:tcW w:type="dxa" w:w="496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Each eligible fiscal voucher shall generate one validated SIRE/RCE record. Multiple vouchers under one request/PO shall remain independent and traceable to request, supplier and CXP.</w:t>
            </w:r>
          </w:p>
        </w:tc>
        <w:tc>
          <w:tcPr>
            <w:tcW w:type="dxa" w:w="115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P1</w:t>
            </w:r>
          </w:p>
        </w:tc>
        <w:tc>
          <w:tcPr>
            <w:tcW w:type="dxa" w:w="10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Q-09</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5"/>
              </w:rPr>
              <w:t>REQ-07</w:t>
            </w:r>
          </w:p>
        </w:tc>
        <w:tc>
          <w:tcPr>
            <w:tcW w:type="dxa" w:w="2232"/>
            <w:tcMar>
              <w:top w:w="80" w:type="dxa"/>
              <w:start w:w="90" w:type="dxa"/>
              <w:bottom w:w="80" w:type="dxa"/>
              <w:end w:w="90" w:type="dxa"/>
            </w:tcMar>
            <w:vAlign w:val="center"/>
          </w:tcPr>
          <w:p>
            <w:pPr>
              <w:spacing w:before="0" w:after="0" w:line="240" w:lineRule="auto"/>
              <w:jc w:val="left"/>
            </w:pPr>
            <w:r>
              <w:rPr>
                <w:rFonts w:ascii="Aptos" w:hAnsi="Aptos"/>
                <w:color w:val="172033"/>
                <w:sz w:val="15"/>
              </w:rPr>
              <w:t>SLA automation</w:t>
            </w:r>
          </w:p>
        </w:tc>
        <w:tc>
          <w:tcPr>
            <w:tcW w:type="dxa" w:w="4968"/>
            <w:tcMar>
              <w:top w:w="80" w:type="dxa"/>
              <w:start w:w="90" w:type="dxa"/>
              <w:bottom w:w="80" w:type="dxa"/>
              <w:end w:w="90" w:type="dxa"/>
            </w:tcMar>
            <w:vAlign w:val="center"/>
          </w:tcPr>
          <w:p>
            <w:pPr>
              <w:spacing w:before="0" w:after="0" w:line="240" w:lineRule="auto"/>
              <w:jc w:val="left"/>
            </w:pPr>
            <w:r>
              <w:rPr>
                <w:rFonts w:ascii="Aptos" w:hAnsi="Aptos"/>
                <w:color w:val="172033"/>
                <w:sz w:val="15"/>
              </w:rPr>
              <w:t>A scheduled process shall identify due-soon/overdue approvals, create idempotent notifications and support escalation without duplicate spam.</w:t>
            </w:r>
          </w:p>
        </w:tc>
        <w:tc>
          <w:tcPr>
            <w:tcW w:type="dxa" w:w="1152"/>
            <w:tcMar>
              <w:top w:w="80" w:type="dxa"/>
              <w:start w:w="90" w:type="dxa"/>
              <w:bottom w:w="80" w:type="dxa"/>
              <w:end w:w="90" w:type="dxa"/>
            </w:tcMar>
            <w:vAlign w:val="center"/>
          </w:tcPr>
          <w:p>
            <w:pPr>
              <w:spacing w:before="0" w:after="0" w:line="240" w:lineRule="auto"/>
              <w:jc w:val="left"/>
            </w:pPr>
            <w:r>
              <w:rPr>
                <w:rFonts w:ascii="Aptos" w:hAnsi="Aptos"/>
                <w:color w:val="172033"/>
                <w:sz w:val="15"/>
              </w:rPr>
              <w:t>P1</w:t>
            </w:r>
          </w:p>
        </w:tc>
        <w:tc>
          <w:tcPr>
            <w:tcW w:type="dxa" w:w="1080"/>
            <w:tcMar>
              <w:top w:w="80" w:type="dxa"/>
              <w:start w:w="90" w:type="dxa"/>
              <w:bottom w:w="80" w:type="dxa"/>
              <w:end w:w="90" w:type="dxa"/>
            </w:tcMar>
            <w:vAlign w:val="center"/>
          </w:tcPr>
          <w:p>
            <w:pPr>
              <w:spacing w:before="0" w:after="0" w:line="240" w:lineRule="auto"/>
              <w:jc w:val="left"/>
            </w:pPr>
            <w:r>
              <w:rPr>
                <w:rFonts w:ascii="Aptos" w:hAnsi="Aptos"/>
                <w:color w:val="172033"/>
                <w:sz w:val="15"/>
              </w:rPr>
              <w:t>Q-11</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REQ-08</w:t>
            </w:r>
          </w:p>
        </w:tc>
        <w:tc>
          <w:tcPr>
            <w:tcW w:type="dxa" w:w="2232"/>
            <w:tcMar>
              <w:top w:w="80" w:type="dxa"/>
              <w:start w:w="90" w:type="dxa"/>
              <w:bottom w:w="80" w:type="dxa"/>
              <w:end w:w="90" w:type="dxa"/>
            </w:tcMar>
            <w:vAlign w:val="center"/>
            <w:shd w:fill="FAFCFE"/>
          </w:tcPr>
          <w:p>
            <w:pPr>
              <w:spacing w:after="0" w:before="0" w:line="240" w:lineRule="auto"/>
            </w:pPr>
            <w:r>
              <w:rPr>
                <w:rFonts w:ascii="Aptos" w:hAnsi="Aptos"/>
                <w:sz w:val="15"/>
              </w:rPr>
              <w:t>Canonical dependent statuses and A1/A2 aggregate progress</w:t>
            </w:r>
          </w:p>
        </w:tc>
        <w:tc>
          <w:tcPr>
            <w:tcW w:type="dxa" w:w="4968"/>
            <w:tcMar>
              <w:top w:w="80" w:type="dxa"/>
              <w:start w:w="90" w:type="dxa"/>
              <w:bottom w:w="80" w:type="dxa"/>
              <w:end w:w="90" w:type="dxa"/>
            </w:tcMar>
            <w:vAlign w:val="center"/>
            <w:shd w:fill="FAFCFE"/>
          </w:tcPr>
          <w:p>
            <w:pPr>
              <w:spacing w:after="0" w:before="0" w:line="240" w:lineRule="auto"/>
            </w:pPr>
            <w:r>
              <w:rPr>
                <w:rFonts w:ascii="Aptos" w:hAnsi="Aptos"/>
                <w:sz w:val="15"/>
              </w:rPr>
              <w:t>System shall maintain one canonical request-state chain controlled by backend transitions. For multi-invoice flows, the parent request shall advance to CONTABILIZADO, PROGRAMADO, TXT_GENERADO, PAGADO or CONCILIADO only when all applicable active child vouchers/CXPs satisfy that milestone. Mixed child states shall be exposed as derived counts/amounts and display labels (for example “Pago parcial 1/3”), not as manually persisted core states. Track C rendition shall be represented independently from payment status.</w:t>
            </w:r>
          </w:p>
        </w:tc>
        <w:tc>
          <w:tcPr>
            <w:tcW w:type="dxa" w:w="1152"/>
            <w:tcMar>
              <w:top w:w="80" w:type="dxa"/>
              <w:start w:w="90" w:type="dxa"/>
              <w:bottom w:w="80" w:type="dxa"/>
              <w:end w:w="90" w:type="dxa"/>
            </w:tcMar>
            <w:vAlign w:val="center"/>
            <w:shd w:fill="FAFCFE"/>
          </w:tcPr>
          <w:p>
            <w:pPr>
              <w:spacing w:after="0" w:before="0" w:line="240" w:lineRule="auto"/>
            </w:pPr>
            <w:r>
              <w:rPr>
                <w:rFonts w:ascii="Aptos" w:hAnsi="Aptos"/>
                <w:sz w:val="15"/>
              </w:rPr>
              <w:t>P1</w:t>
            </w:r>
          </w:p>
        </w:tc>
        <w:tc>
          <w:tcPr>
            <w:tcW w:type="dxa" w:w="1080"/>
            <w:tcMar>
              <w:top w:w="80" w:type="dxa"/>
              <w:start w:w="90" w:type="dxa"/>
              <w:bottom w:w="80" w:type="dxa"/>
              <w:end w:w="90" w:type="dxa"/>
            </w:tcMar>
            <w:vAlign w:val="center"/>
            <w:shd w:fill="FAFCFE"/>
          </w:tcPr>
          <w:p>
            <w:pPr>
              <w:spacing w:after="0" w:before="0" w:line="240" w:lineRule="auto"/>
            </w:pPr>
            <w:r>
              <w:rPr>
                <w:rFonts w:ascii="Aptos" w:hAnsi="Aptos"/>
                <w:sz w:val="15"/>
              </w:rPr>
              <w:t>Q-10</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5"/>
              </w:rPr>
              <w:t>REQ-09</w:t>
            </w:r>
          </w:p>
        </w:tc>
        <w:tc>
          <w:tcPr>
            <w:tcW w:type="dxa" w:w="2232"/>
            <w:tcMar>
              <w:top w:w="80" w:type="dxa"/>
              <w:start w:w="90" w:type="dxa"/>
              <w:bottom w:w="80" w:type="dxa"/>
              <w:end w:w="90" w:type="dxa"/>
            </w:tcMar>
            <w:vAlign w:val="center"/>
          </w:tcPr>
          <w:p>
            <w:pPr>
              <w:spacing w:before="0" w:after="0" w:line="240" w:lineRule="auto"/>
              <w:jc w:val="left"/>
            </w:pPr>
            <w:r>
              <w:rPr>
                <w:rFonts w:ascii="Aptos" w:hAnsi="Aptos"/>
                <w:color w:val="172033"/>
                <w:sz w:val="15"/>
              </w:rPr>
              <w:t>Payment posting rule</w:t>
            </w:r>
          </w:p>
        </w:tc>
        <w:tc>
          <w:tcPr>
            <w:tcW w:type="dxa" w:w="4968"/>
            <w:tcMar>
              <w:top w:w="80" w:type="dxa"/>
              <w:start w:w="90" w:type="dxa"/>
              <w:bottom w:w="80" w:type="dxa"/>
              <w:end w:w="90" w:type="dxa"/>
            </w:tcMar>
            <w:vAlign w:val="center"/>
          </w:tcPr>
          <w:p>
            <w:pPr>
              <w:spacing w:before="0" w:after="0" w:line="240" w:lineRule="auto"/>
              <w:jc w:val="left"/>
            </w:pPr>
            <w:r>
              <w:rPr>
                <w:rFonts w:ascii="Aptos" w:hAnsi="Aptos"/>
                <w:color w:val="172033"/>
                <w:sz w:val="15"/>
              </w:rPr>
              <w:t>System shall not treat bank-file creation as successful payment. Payment status and settlement entry shall require confirmed bank execution data unless Finance formally approves another policy.</w:t>
            </w:r>
          </w:p>
        </w:tc>
        <w:tc>
          <w:tcPr>
            <w:tcW w:type="dxa" w:w="1152"/>
            <w:tcMar>
              <w:top w:w="80" w:type="dxa"/>
              <w:start w:w="90" w:type="dxa"/>
              <w:bottom w:w="80" w:type="dxa"/>
              <w:end w:w="90" w:type="dxa"/>
            </w:tcMar>
            <w:vAlign w:val="center"/>
          </w:tcPr>
          <w:p>
            <w:pPr>
              <w:spacing w:before="0" w:after="0" w:line="240" w:lineRule="auto"/>
              <w:jc w:val="left"/>
            </w:pPr>
            <w:r>
              <w:rPr>
                <w:rFonts w:ascii="Aptos" w:hAnsi="Aptos"/>
                <w:color w:val="172033"/>
                <w:sz w:val="15"/>
              </w:rPr>
              <w:t>P0 / Policy</w:t>
            </w:r>
          </w:p>
        </w:tc>
        <w:tc>
          <w:tcPr>
            <w:tcW w:type="dxa" w:w="1080"/>
            <w:tcMar>
              <w:top w:w="80" w:type="dxa"/>
              <w:start w:w="90" w:type="dxa"/>
              <w:bottom w:w="80" w:type="dxa"/>
              <w:end w:w="90" w:type="dxa"/>
            </w:tcMar>
            <w:vAlign w:val="center"/>
          </w:tcPr>
          <w:p>
            <w:pPr>
              <w:spacing w:before="0" w:after="0" w:line="240" w:lineRule="auto"/>
              <w:jc w:val="left"/>
            </w:pPr>
            <w:r>
              <w:rPr>
                <w:rFonts w:ascii="Aptos" w:hAnsi="Aptos"/>
                <w:color w:val="172033"/>
                <w:sz w:val="15"/>
              </w:rPr>
              <w:t>Q-14</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REQ-10</w:t>
            </w:r>
          </w:p>
        </w:tc>
        <w:tc>
          <w:tcPr>
            <w:tcW w:type="dxa" w:w="223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Period close integrity</w:t>
            </w:r>
          </w:p>
        </w:tc>
        <w:tc>
          <w:tcPr>
            <w:tcW w:type="dxa" w:w="496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Closed accounting periods shall continue blocking controlled backdated registration/modification/approval; consolidation must reconcile before close/export.</w:t>
            </w:r>
          </w:p>
        </w:tc>
        <w:tc>
          <w:tcPr>
            <w:tcW w:type="dxa" w:w="115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Maintain</w:t>
            </w:r>
          </w:p>
        </w:tc>
        <w:tc>
          <w:tcPr>
            <w:tcW w:type="dxa" w:w="10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None</w:t>
            </w:r>
          </w:p>
        </w:tc>
      </w:tr>
      <w:tr>
        <w:trPr>
          <w:cantSplit/>
        </w:trPr>
        <w:tc>
          <w:tcPr>
            <w:tcW w:type="dxa" w:w="792"/>
            <w:tcMar>
              <w:top w:w="80" w:type="dxa"/>
              <w:start w:w="90" w:type="dxa"/>
              <w:bottom w:w="80" w:type="dxa"/>
              <w:end w:w="90" w:type="dxa"/>
            </w:tcMar>
            <w:vAlign w:val="center"/>
          </w:tcPr>
          <w:p>
            <w:pPr>
              <w:spacing w:before="0" w:after="0" w:line="240" w:lineRule="auto"/>
              <w:jc w:val="left"/>
            </w:pPr>
            <w:r>
              <w:rPr>
                <w:rFonts w:ascii="Aptos" w:hAnsi="Aptos"/>
                <w:color w:val="172033"/>
                <w:sz w:val="15"/>
              </w:rPr>
              <w:t>REQ-11</w:t>
            </w:r>
          </w:p>
        </w:tc>
        <w:tc>
          <w:tcPr>
            <w:tcW w:type="dxa" w:w="2232"/>
            <w:tcMar>
              <w:top w:w="80" w:type="dxa"/>
              <w:start w:w="90" w:type="dxa"/>
              <w:bottom w:w="80" w:type="dxa"/>
              <w:end w:w="90" w:type="dxa"/>
            </w:tcMar>
            <w:vAlign w:val="center"/>
          </w:tcPr>
          <w:p>
            <w:pPr>
              <w:spacing w:before="0" w:after="0" w:line="240" w:lineRule="auto"/>
              <w:jc w:val="left"/>
            </w:pPr>
            <w:r>
              <w:rPr>
                <w:rFonts w:ascii="Aptos" w:hAnsi="Aptos"/>
                <w:color w:val="172033"/>
                <w:sz w:val="15"/>
              </w:rPr>
              <w:t>Fiscal duplicate control</w:t>
            </w:r>
          </w:p>
        </w:tc>
        <w:tc>
          <w:tcPr>
            <w:tcW w:type="dxa" w:w="4968"/>
            <w:tcMar>
              <w:top w:w="80" w:type="dxa"/>
              <w:start w:w="90" w:type="dxa"/>
              <w:bottom w:w="80" w:type="dxa"/>
              <w:end w:w="90" w:type="dxa"/>
            </w:tcMar>
            <w:vAlign w:val="center"/>
          </w:tcPr>
          <w:p>
            <w:pPr>
              <w:spacing w:before="0" w:after="0" w:line="240" w:lineRule="auto"/>
              <w:jc w:val="left"/>
            </w:pPr>
            <w:r>
              <w:rPr>
                <w:rFonts w:ascii="Aptos" w:hAnsi="Aptos"/>
                <w:color w:val="172033"/>
                <w:sz w:val="15"/>
              </w:rPr>
              <w:t>RUC/DNI + voucher type + series + number uniqueness shall continue preventing duplicate fiscal documents/double payment.</w:t>
            </w:r>
          </w:p>
        </w:tc>
        <w:tc>
          <w:tcPr>
            <w:tcW w:type="dxa" w:w="1152"/>
            <w:tcMar>
              <w:top w:w="80" w:type="dxa"/>
              <w:start w:w="90" w:type="dxa"/>
              <w:bottom w:w="80" w:type="dxa"/>
              <w:end w:w="90" w:type="dxa"/>
            </w:tcMar>
            <w:vAlign w:val="center"/>
          </w:tcPr>
          <w:p>
            <w:pPr>
              <w:spacing w:before="0" w:after="0" w:line="240" w:lineRule="auto"/>
              <w:jc w:val="left"/>
            </w:pPr>
            <w:r>
              <w:rPr>
                <w:rFonts w:ascii="Aptos" w:hAnsi="Aptos"/>
                <w:color w:val="172033"/>
                <w:sz w:val="15"/>
              </w:rPr>
              <w:t>Maintain</w:t>
            </w:r>
          </w:p>
        </w:tc>
        <w:tc>
          <w:tcPr>
            <w:tcW w:type="dxa" w:w="1080"/>
            <w:tcMar>
              <w:top w:w="80" w:type="dxa"/>
              <w:start w:w="90" w:type="dxa"/>
              <w:bottom w:w="80" w:type="dxa"/>
              <w:end w:w="90" w:type="dxa"/>
            </w:tcMar>
            <w:vAlign w:val="center"/>
          </w:tcPr>
          <w:p>
            <w:pPr>
              <w:spacing w:before="0" w:after="0" w:line="240" w:lineRule="auto"/>
              <w:jc w:val="left"/>
            </w:pPr>
            <w:r>
              <w:rPr>
                <w:rFonts w:ascii="Aptos" w:hAnsi="Aptos"/>
                <w:color w:val="172033"/>
                <w:sz w:val="15"/>
              </w:rPr>
              <w:t>None</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REQ-12</w:t>
            </w:r>
          </w:p>
        </w:tc>
        <w:tc>
          <w:tcPr>
            <w:tcW w:type="dxa" w:w="223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Auditability</w:t>
            </w:r>
          </w:p>
        </w:tc>
        <w:tc>
          <w:tcPr>
            <w:tcW w:type="dxa" w:w="4968"/>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All material workflow, approval, budget, accounting, Treasury and configuration decisions shall remain traceable with user, timestamp, relevant old/new state and comments/context.</w:t>
            </w:r>
          </w:p>
        </w:tc>
        <w:tc>
          <w:tcPr>
            <w:tcW w:type="dxa" w:w="1152"/>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Maintain</w:t>
            </w:r>
          </w:p>
        </w:tc>
        <w:tc>
          <w:tcPr>
            <w:tcW w:type="dxa" w:w="108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5"/>
              </w:rPr>
              <w:t>None</w:t>
            </w:r>
          </w:p>
        </w:tc>
      </w:tr>
      <w:tr>
        <w:trPr>
          <w:cantSplit/>
        </w:trPr>
        <w:tc>
          <w:tcPr>
            <w:tcW w:type="dxa" w:w="792"/>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REQ-13</w:t>
            </w:r>
          </w:p>
        </w:tc>
        <w:tc>
          <w:tcPr>
            <w:tcW w:type="dxa" w:w="2232"/>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Production Cost Center master &amp; employee assignment</w:t>
            </w:r>
          </w:p>
        </w:tc>
        <w:tc>
          <w:tcPr>
            <w:tcW w:type="dxa" w:w="4968"/>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System shall import/maintain the validated UMA CeCo catalogue and map each applicable user to a default CeCo. The import shall preserve institutional CeCo code, area, organic-unit name/code and source/effective-date metadata; duplicate/conflicting mappings shall be reported for review. Request creation shall default to the user CeCo and restrict alternatives to authorized CeCos. Production data shall not use the six reviewed demo CeCos. DNI shall not be exposed in normal application views and shall only be persisted if formally approved.</w:t>
            </w:r>
          </w:p>
        </w:tc>
        <w:tc>
          <w:tcPr>
            <w:tcW w:type="dxa" w:w="1152"/>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P0</w:t>
            </w:r>
          </w:p>
        </w:tc>
        <w:tc>
          <w:tcPr>
            <w:tcW w:type="dxa" w:w="1080"/>
            <w:tcMar>
              <w:top w:w="80" w:type="dxa"/>
              <w:start w:w="90" w:type="dxa"/>
              <w:bottom w:w="80" w:type="dxa"/>
              <w:end w:w="90" w:type="dxa"/>
            </w:tcMar>
            <w:vAlign w:val="center"/>
            <w:shd w:fill="FAFCFE"/>
          </w:tcPr>
          <w:p>
            <w:pPr>
              <w:spacing w:before="0" w:after="0" w:line="240" w:lineRule="auto"/>
              <w:jc w:val="left"/>
            </w:pPr>
            <w:pPr>
              <w:jc w:val="left"/>
            </w:pPr>
            <w:r>
              <w:rPr>
                <w:rFonts w:ascii="Aptos" w:hAnsi="Aptos"/>
                <w:color w:val="172033"/>
                <w:sz w:val="15"/>
              </w:rPr>
              <w:t>Q-15/Q-16/Q-17/Q-18</w:t>
            </w:r>
          </w:p>
        </w:tc>
      </w:tr>
      <w:tr>
        <w:tc>
          <w:tcPr>
            <w:tcW w:type="dxa" w:w="792"/>
            <w:tcMar>
              <w:top w:w="80" w:type="dxa"/>
              <w:start w:w="90" w:type="dxa"/>
              <w:bottom w:w="80" w:type="dxa"/>
              <w:end w:w="90" w:type="dxa"/>
            </w:tcMar>
            <w:vAlign w:val="center"/>
          </w:tcPr>
          <w:p>
            <w:pPr>
              <w:spacing w:after="0" w:before="0" w:line="240" w:lineRule="auto"/>
            </w:pPr>
            <w:r>
              <w:rPr>
                <w:rFonts w:ascii="Aptos" w:hAnsi="Aptos"/>
                <w:sz w:val="15"/>
              </w:rPr>
              <w:t>REQ-14</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Controlled state-transition governance</w:t>
            </w:r>
          </w:p>
        </w:tc>
        <w:tc>
          <w:tcPr>
            <w:tcW w:type="dxa" w:w="4968"/>
            <w:tcMar>
              <w:top w:w="80" w:type="dxa"/>
              <w:start w:w="90" w:type="dxa"/>
              <w:bottom w:w="80" w:type="dxa"/>
              <w:end w:w="90" w:type="dxa"/>
            </w:tcMar>
            <w:vAlign w:val="center"/>
          </w:tcPr>
          <w:p>
            <w:pPr>
              <w:spacing w:after="0" w:before="0" w:line="240" w:lineRule="auto"/>
            </w:pPr>
            <w:r>
              <w:rPr>
                <w:rFonts w:ascii="Aptos" w:hAnsi="Aptos"/>
                <w:sz w:val="15"/>
              </w:rPr>
              <w:t>Workflow status shall not be directly editable by normal users. Each forward state must be produced by the business action/evidence that justifies it; illegal skips shall be rejected server-side. Exception states shall preserve the last valid checkpoint. RECHAZADO and ANULADO are terminal. PAGADO requires confirmed bank execution; CONCILIADO requires a successful reconciliation. Any exceptional administrative repair, if enabled, must use a dedicated permission, mandatory reason/evidence and immutable audit record.</w:t>
            </w:r>
          </w:p>
        </w:tc>
        <w:tc>
          <w:tcPr>
            <w:tcW w:type="dxa" w:w="1152"/>
            <w:tcMar>
              <w:top w:w="80" w:type="dxa"/>
              <w:start w:w="90" w:type="dxa"/>
              <w:bottom w:w="80" w:type="dxa"/>
              <w:end w:w="90" w:type="dxa"/>
            </w:tcMar>
            <w:vAlign w:val="center"/>
          </w:tcPr>
          <w:p>
            <w:pPr>
              <w:spacing w:after="0" w:before="0" w:line="240" w:lineRule="auto"/>
            </w:pPr>
            <w:r>
              <w:rPr>
                <w:rFonts w:ascii="Aptos" w:hAnsi="Aptos"/>
                <w:sz w:val="15"/>
              </w:rPr>
              <w:t>P1 / Integrity</w:t>
            </w:r>
          </w:p>
        </w:tc>
        <w:tc>
          <w:tcPr>
            <w:tcW w:type="dxa" w:w="1080"/>
            <w:tcMar>
              <w:top w:w="80" w:type="dxa"/>
              <w:start w:w="90" w:type="dxa"/>
              <w:bottom w:w="80" w:type="dxa"/>
              <w:end w:w="90" w:type="dxa"/>
            </w:tcMar>
            <w:vAlign w:val="center"/>
          </w:tcPr>
          <w:p>
            <w:pPr>
              <w:spacing w:after="0" w:before="0" w:line="240" w:lineRule="auto"/>
            </w:pPr>
            <w:r>
              <w:rPr>
                <w:rFonts w:ascii="Aptos" w:hAnsi="Aptos"/>
                <w:sz w:val="15"/>
              </w:rPr>
              <w:t>Q-21</w:t>
            </w:r>
          </w:p>
        </w:tc>
      </w:tr>
    </w:tbl>
    <w:p>
      <w:pPr>
        <w:spacing w:after="20"/>
      </w:pPr>
    </w:p>
    <w:p>
      <w:pPr>
        <w:pStyle w:val="Heading2"/>
        <w:keepNext/>
        <w:spacing w:before="180" w:after="80"/>
      </w:pPr>
      <w:r>
        <w:rPr>
          <w:rFonts w:ascii="Arial" w:hAnsi="Arial"/>
          <w:b/>
          <w:color w:val="007FFF"/>
          <w:sz w:val="24"/>
        </w:rPr>
        <w:t>7.1 External Inputs Needed Before Production Certification</w:t>
      </w:r>
    </w:p>
    <w:p>
      <w:pPr>
        <w:pStyle w:val="ListBullet"/>
        <w:spacing w:before="0" w:after="40" w:line="259" w:lineRule="auto"/>
        <w:ind w:left="317" w:hanging="173"/>
      </w:pPr>
      <w:r>
        <w:t>For BBVA: confirm the supplied PEN/USD samples as current production references and provide/approve the field-by-field layout, header constants/dynamic fields, encoding, newline and filename rules. No BCP, Interbank or Scotiabank outbound payment-file implementation is required because UMA has confirmed that Treasury payments are executed from BBVA only.</w:t>
      </w:r>
    </w:p>
    <w:p>
      <w:pPr>
        <w:pStyle w:val="ListBullet"/>
        <w:spacing w:before="0" w:after="40" w:line="259" w:lineRule="auto"/>
        <w:ind w:left="317" w:hanging="173"/>
      </w:pPr>
      <w:r>
        <w:t>For BBVA: use the two supplied files as golden structural samples and obtain Treasury/bank acceptance confirmation for system-generated PEN and USD test files. No acceptance testing is required for BCP, Interbank or Scotiabank payment-file generators because they are outside the confirmed production scope.</w:t>
      </w:r>
    </w:p>
    <w:p>
      <w:pPr>
        <w:pStyle w:val="ListBullet"/>
        <w:spacing w:before="0" w:after="40" w:line="259" w:lineRule="auto"/>
        <w:ind w:left="317" w:hanging="173"/>
      </w:pPr>
      <w:r>
        <w:rPr>
          <w:rFonts w:ascii="Arial" w:hAnsi="Arial"/>
          <w:color w:val="172033"/>
          <w:sz w:val="20"/>
        </w:rPr>
        <w:t>Finance confirmation of Track B and budget-exception approval policies.</w:t>
      </w:r>
    </w:p>
    <w:p>
      <w:pPr>
        <w:pStyle w:val="ListBullet"/>
        <w:spacing w:before="0" w:after="40" w:line="259" w:lineRule="auto"/>
        <w:ind w:left="317" w:hanging="173"/>
      </w:pPr>
      <w:r>
        <w:rPr>
          <w:rFonts w:ascii="Arial" w:hAnsi="Arial"/>
          <w:color w:val="172033"/>
          <w:sz w:val="20"/>
        </w:rPr>
        <w:t>Finance/Accounting confirmation of exchange-rate date/fallback policy.</w:t>
      </w:r>
    </w:p>
    <w:p>
      <w:pPr>
        <w:pStyle w:val="ListBullet"/>
        <w:spacing w:before="0" w:after="40" w:line="259" w:lineRule="auto"/>
        <w:ind w:left="317" w:hanging="173"/>
      </w:pPr>
      <w:r>
        <w:rPr>
          <w:rFonts w:ascii="Arial" w:hAnsi="Arial"/>
          <w:color w:val="172033"/>
          <w:sz w:val="20"/>
        </w:rPr>
        <w:t>Accounting confirmation of the final payment-entry timing rule.</w:t>
      </w:r>
    </w:p>
    <w:p>
      <w:pPr>
        <w:pStyle w:val="ListBullet"/>
        <w:spacing w:before="0" w:after="40" w:line="259" w:lineRule="auto"/>
        <w:ind w:left="317" w:hanging="173"/>
      </w:pPr>
      <w:r>
        <w:rPr>
          <w:rFonts w:ascii="Arial" w:hAnsi="Arial"/>
          <w:color w:val="172033"/>
          <w:sz w:val="20"/>
        </w:rPr>
        <w:t>Definition of mandatory evidence by expense nature and workflow phase.</w:t>
      </w:r>
    </w:p>
    <w:p>
      <w:pPr>
        <w:pStyle w:val="ListBullet"/>
        <w:spacing w:before="0" w:after="40" w:line="259" w:lineRule="auto"/>
        <w:ind w:left="317" w:hanging="173"/>
      </w:pPr>
      <w:r>
        <w:rPr>
          <w:rFonts w:ascii="Arial" w:hAnsi="Arial"/>
          <w:color w:val="172033"/>
          <w:sz w:val="20"/>
        </w:rPr>
        <w:t>Decision on SIRE scope: review/export only for go-live or direct submission requirement.</w:t>
      </w:r>
    </w:p>
    <w:p>
      <w:pPr>
        <w:pStyle w:val="ListBullet"/>
        <w:spacing w:before="0" w:after="40" w:line="259" w:lineRule="auto"/>
        <w:ind w:left="317" w:hanging="173"/>
      </w:pPr>
      <w:r>
        <w:rPr>
          <w:rFonts w:ascii="Arial" w:hAnsi="Arial"/>
          <w:color w:val="172033"/>
          <w:sz w:val="20"/>
        </w:rPr>
        <w:t>SLA recipients, timing thresholds and escalation rules.</w:t>
      </w:r>
    </w:p>
    <w:p>
      <w:pPr>
        <w:pStyle w:val="Heading1"/>
        <w:keepNext/>
        <w:spacing w:before="240" w:after="120"/>
      </w:pPr>
      <w:r>
        <w:rPr>
          <w:rFonts w:ascii="Arial" w:hAnsi="Arial"/>
          <w:b/>
          <w:color w:val="0A3D62"/>
          <w:sz w:val="30"/>
        </w:rPr>
        <w:t>8. Recommended Implementation Priority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180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Stage</w:t>
            </w:r>
          </w:p>
        </w:tc>
        <w:tc>
          <w:tcPr>
            <w:tcW w:type="dxa" w:w="5904"/>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Scope</w:t>
            </w:r>
          </w:p>
        </w:tc>
        <w:tc>
          <w:tcPr>
            <w:tcW w:type="dxa" w:w="288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Why</w:t>
            </w:r>
          </w:p>
        </w:tc>
      </w:tr>
      <w:tr>
        <w:trPr>
          <w:cantSplit/>
        </w:trPr>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P0 - Before production financial use</w:t>
            </w:r>
          </w:p>
        </w:tc>
        <w:tc>
          <w:tcPr>
            <w:tcW w:type="dxa" w:w="5904"/>
            <w:tcMar>
              <w:top w:w="80" w:type="dxa"/>
              <w:start w:w="90" w:type="dxa"/>
              <w:bottom w:w="80" w:type="dxa"/>
              <w:end w:w="90" w:type="dxa"/>
            </w:tcMar>
            <w:vAlign w:val="center"/>
          </w:tcPr>
          <w:p>
            <w:pPr>
              <w:spacing w:after="0" w:before="0" w:line="240" w:lineRule="auto"/>
            </w:pPr>
            <w:r>
              <w:rPr>
                <w:rFonts w:ascii="Aptos" w:hAnsi="Aptos"/>
                <w:sz w:val="16"/>
              </w:rPr>
              <w:t>REQ-01 Document rules; REQ-02 Track B policy; REQ-03 SUNAT FX; REQ-04 certified bank files; REQ-09 payment posting sign-off; REQ-13 production Cost Center master/user mapping.</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6"/>
              </w:rPr>
              <w:t>These controls affect approval authority, fiscal evidence, valuation and real bank payment risk.</w:t>
            </w:r>
          </w:p>
        </w:tc>
      </w:tr>
      <w:tr>
        <w:trPr>
          <w:cantSplit/>
        </w:trPr>
        <w:tc>
          <w:tcPr>
            <w:tcW w:type="dxa" w:w="1800"/>
            <w:tcMar>
              <w:top w:w="80" w:type="dxa"/>
              <w:start w:w="90" w:type="dxa"/>
              <w:bottom w:w="80" w:type="dxa"/>
              <w:end w:w="90" w:type="dxa"/>
            </w:tcMar>
            <w:vAlign w:val="center"/>
            <w:shd w:fill="FAFCFE"/>
          </w:tcPr>
          <w:p>
            <w:pPr>
              <w:spacing w:before="0" w:after="0" w:line="240" w:lineRule="auto"/>
              <w:jc w:val="left"/>
            </w:pPr>
            <w:r>
              <w:rPr>
                <w:rFonts w:ascii="Aptos" w:hAnsi="Aptos"/>
                <w:color w:val="172033"/>
                <w:sz w:val="16"/>
              </w:rPr>
              <w:t>P1 - Before full Finance go-live</w:t>
            </w:r>
          </w:p>
        </w:tc>
        <w:tc>
          <w:tcPr>
            <w:tcW w:type="dxa" w:w="5904"/>
            <w:tcMar>
              <w:top w:w="80" w:type="dxa"/>
              <w:start w:w="90" w:type="dxa"/>
              <w:bottom w:w="80" w:type="dxa"/>
              <w:end w:w="90" w:type="dxa"/>
            </w:tcMar>
            <w:vAlign w:val="center"/>
            <w:shd w:fill="FAFCFE"/>
          </w:tcPr>
          <w:p>
            <w:pPr>
              <w:spacing w:after="0" w:before="0" w:line="240" w:lineRule="auto"/>
            </w:pPr>
            <w:r>
              <w:rPr>
                <w:rFonts w:ascii="Aptos" w:hAnsi="Aptos"/>
                <w:sz w:val="16"/>
              </w:rPr>
              <w:t>REQ-05 budget exception segregation; REQ-06 voucher-level SIRE; REQ-07 SLA automation; REQ-08 canonical dependent statuses/aggregate progress; REQ-14 controlled state-transition governance.</w:t>
            </w:r>
          </w:p>
        </w:tc>
        <w:tc>
          <w:tcPr>
            <w:tcW w:type="dxa" w:w="2880"/>
            <w:tcMar>
              <w:top w:w="80" w:type="dxa"/>
              <w:start w:w="90" w:type="dxa"/>
              <w:bottom w:w="80" w:type="dxa"/>
              <w:end w:w="90" w:type="dxa"/>
            </w:tcMar>
            <w:vAlign w:val="center"/>
            <w:shd w:fill="FAFCFE"/>
          </w:tcPr>
          <w:p>
            <w:pPr>
              <w:spacing w:after="0" w:before="0" w:line="240" w:lineRule="auto"/>
            </w:pPr>
            <w:r>
              <w:rPr>
                <w:rFonts w:ascii="Aptos" w:hAnsi="Aptos"/>
                <w:sz w:val="16"/>
              </w:rPr>
              <w:t>These improve governance, scalability, compliance reporting and operational clarity while preventing inconsistent or manually forced workflow states.</w:t>
            </w:r>
          </w:p>
        </w:tc>
      </w:tr>
      <w:tr>
        <w:trPr>
          <w:cantSplit/>
        </w:trPr>
        <w:tc>
          <w:tcPr>
            <w:tcW w:type="dxa" w:w="1800"/>
            <w:tcMar>
              <w:top w:w="80" w:type="dxa"/>
              <w:start w:w="90" w:type="dxa"/>
              <w:bottom w:w="80" w:type="dxa"/>
              <w:end w:w="90" w:type="dxa"/>
            </w:tcMar>
            <w:vAlign w:val="center"/>
          </w:tcPr>
          <w:p>
            <w:pPr>
              <w:spacing w:before="0" w:after="0" w:line="240" w:lineRule="auto"/>
              <w:jc w:val="left"/>
            </w:pPr>
            <w:r>
              <w:rPr>
                <w:rFonts w:ascii="Aptos" w:hAnsi="Aptos"/>
                <w:color w:val="172033"/>
                <w:sz w:val="16"/>
              </w:rPr>
              <w:t>Maintain / Regression protection</w:t>
            </w:r>
          </w:p>
        </w:tc>
        <w:tc>
          <w:tcPr>
            <w:tcW w:type="dxa" w:w="5904"/>
            <w:tcMar>
              <w:top w:w="80" w:type="dxa"/>
              <w:start w:w="90" w:type="dxa"/>
              <w:bottom w:w="80" w:type="dxa"/>
              <w:end w:w="90" w:type="dxa"/>
            </w:tcMar>
            <w:vAlign w:val="center"/>
          </w:tcPr>
          <w:p>
            <w:pPr>
              <w:spacing w:before="0" w:after="0" w:line="240" w:lineRule="auto"/>
              <w:jc w:val="left"/>
            </w:pPr>
            <w:r>
              <w:rPr>
                <w:rFonts w:ascii="Aptos" w:hAnsi="Aptos"/>
                <w:color w:val="172033"/>
                <w:sz w:val="16"/>
              </w:rPr>
              <w:t>Period close, duplicate voucher control, CXP/payment confirmation, reconciliation, audit, supplier bank history and budget rollback.</w:t>
            </w:r>
          </w:p>
        </w:tc>
        <w:tc>
          <w:tcPr>
            <w:tcW w:type="dxa" w:w="2880"/>
            <w:tcMar>
              <w:top w:w="80" w:type="dxa"/>
              <w:start w:w="90" w:type="dxa"/>
              <w:bottom w:w="80" w:type="dxa"/>
              <w:end w:w="90" w:type="dxa"/>
            </w:tcMar>
            <w:vAlign w:val="center"/>
          </w:tcPr>
          <w:p>
            <w:pPr>
              <w:spacing w:before="0" w:after="0" w:line="240" w:lineRule="auto"/>
              <w:jc w:val="left"/>
            </w:pPr>
            <w:r>
              <w:rPr>
                <w:rFonts w:ascii="Aptos" w:hAnsi="Aptos"/>
                <w:color w:val="172033"/>
                <w:sz w:val="16"/>
              </w:rPr>
              <w:t>These controls already support the target design and should be protected by regression tests.</w:t>
            </w:r>
          </w:p>
        </w:tc>
      </w:tr>
    </w:tbl>
    <w:p>
      <w:pPr>
        <w:spacing w:after="20"/>
      </w:pPr>
    </w:p>
    <w:p>
      <w:pPr>
        <w:pStyle w:val="Heading2"/>
        <w:keepNext/>
        <w:spacing w:before="180" w:after="80"/>
      </w:pPr>
      <w:r>
        <w:rPr>
          <w:rFonts w:ascii="Arial" w:hAnsi="Arial"/>
          <w:b/>
          <w:color w:val="007FFF"/>
          <w:sz w:val="24"/>
        </w:rPr>
        <w:t>Suggested Test Evidence for Each Release</w:t>
      </w:r>
    </w:p>
    <w:p>
      <w:pPr>
        <w:pStyle w:val="ListBullet"/>
        <w:spacing w:before="0" w:after="40" w:line="259" w:lineRule="auto"/>
        <w:ind w:left="317" w:hanging="173"/>
      </w:pPr>
      <w:r>
        <w:rPr>
          <w:rFonts w:ascii="Arial" w:hAnsi="Arial"/>
          <w:color w:val="172033"/>
          <w:sz w:val="20"/>
        </w:rPr>
        <w:t>One standard A1 goods case with 3 quotations → PO → invoice → CXP → TXT → payment → reconciliation.</w:t>
      </w:r>
    </w:p>
    <w:p>
      <w:pPr>
        <w:pStyle w:val="ListBullet"/>
        <w:spacing w:before="0" w:after="40" w:line="259" w:lineRule="auto"/>
        <w:ind w:left="317" w:hanging="173"/>
      </w:pPr>
      <w:r>
        <w:rPr>
          <w:rFonts w:ascii="Arial" w:hAnsi="Arial"/>
          <w:color w:val="172033"/>
          <w:sz w:val="20"/>
        </w:rPr>
        <w:t>One A1 service case with contract + service conformity and correct document gates.</w:t>
      </w:r>
    </w:p>
    <w:p>
      <w:pPr>
        <w:pStyle w:val="ListBullet"/>
        <w:spacing w:before="0" w:after="40" w:line="259" w:lineRule="auto"/>
        <w:ind w:left="317" w:hanging="173"/>
      </w:pPr>
      <w:r>
        <w:rPr>
          <w:rFonts w:ascii="Arial" w:hAnsi="Arial"/>
          <w:color w:val="172033"/>
          <w:sz w:val="20"/>
        </w:rPr>
        <w:t>One A2 PO with at least two invoices paid at different times to prove aggregate status logic.</w:t>
      </w:r>
    </w:p>
    <w:p>
      <w:pPr>
        <w:pStyle w:val="ListBullet"/>
        <w:spacing w:before="0" w:after="40" w:line="259" w:lineRule="auto"/>
        <w:ind w:left="317" w:hanging="173"/>
      </w:pPr>
      <w:r>
        <w:rPr>
          <w:rFonts w:ascii="Arial" w:hAnsi="Arial"/>
          <w:color w:val="172033"/>
          <w:sz w:val="20"/>
        </w:rPr>
        <w:t>One Track B direct-payment case proving the approved final route.</w:t>
      </w:r>
    </w:p>
    <w:p>
      <w:pPr>
        <w:pStyle w:val="ListBullet"/>
        <w:spacing w:before="0" w:after="40" w:line="259" w:lineRule="auto"/>
        <w:ind w:left="317" w:hanging="173"/>
      </w:pPr>
      <w:r>
        <w:rPr>
          <w:rFonts w:ascii="Arial" w:hAnsi="Arial"/>
          <w:color w:val="172033"/>
          <w:sz w:val="20"/>
        </w:rPr>
        <w:t>One Track C advance and rendition case, including a difference/non-deductible scenario.</w:t>
      </w:r>
    </w:p>
    <w:p>
      <w:pPr>
        <w:pStyle w:val="ListBullet"/>
        <w:spacing w:before="0" w:after="40" w:line="259" w:lineRule="auto"/>
        <w:ind w:left="317" w:hanging="173"/>
      </w:pPr>
      <w:r>
        <w:rPr>
          <w:rFonts w:ascii="Arial" w:hAnsi="Arial"/>
          <w:color w:val="172033"/>
          <w:sz w:val="20"/>
        </w:rPr>
        <w:t>One insufficient-budget case exercising the approved exception path.</w:t>
      </w:r>
    </w:p>
    <w:p>
      <w:pPr>
        <w:pStyle w:val="ListBullet"/>
        <w:spacing w:before="0" w:after="40" w:line="259" w:lineRule="auto"/>
        <w:ind w:left="317" w:hanging="173"/>
      </w:pPr>
      <w:r>
        <w:rPr>
          <w:rFonts w:ascii="Arial" w:hAnsi="Arial"/>
          <w:color w:val="172033"/>
          <w:sz w:val="20"/>
        </w:rPr>
        <w:t>One USD case proving authoritative SUNAT rate storage and PEN conversion.</w:t>
      </w:r>
    </w:p>
    <w:p>
      <w:pPr>
        <w:pStyle w:val="ListBullet"/>
        <w:spacing w:before="0" w:after="40" w:line="259" w:lineRule="auto"/>
        <w:ind w:left="317" w:hanging="173"/>
      </w:pPr>
      <w:r>
        <w:rPr>
          <w:rFonts w:ascii="Arial" w:hAnsi="Arial"/>
          <w:color w:val="172033"/>
          <w:sz w:val="20"/>
        </w:rPr>
        <w:t>One duplicate invoice attempt that must be rejected.</w:t>
      </w:r>
    </w:p>
    <w:p>
      <w:pPr>
        <w:pStyle w:val="ListBullet"/>
        <w:spacing w:before="0" w:after="40" w:line="259" w:lineRule="auto"/>
        <w:ind w:left="317" w:hanging="173"/>
      </w:pPr>
      <w:r>
        <w:rPr>
          <w:rFonts w:ascii="Arial" w:hAnsi="Arial"/>
          <w:color w:val="172033"/>
          <w:sz w:val="20"/>
        </w:rPr>
        <w:t>One closed-period attempt that must be blocked.</w:t>
      </w:r>
    </w:p>
    <w:p>
      <w:pPr>
        <w:pStyle w:val="ListBullet"/>
        <w:spacing w:before="0" w:after="40" w:line="259" w:lineRule="auto"/>
        <w:ind w:left="317" w:hanging="173"/>
      </w:pPr>
      <w:r>
        <w:t>BBVA only: generate both PEN and USD files and prove exact fixed-width/count/amount reconciliation against the supplied golden samples. Then complete controlled Treasury/bank upload acceptance tests for the required BBVA payment scenarios, including at least one successful case and one rejection/bounce handling case.</w:t>
      </w:r>
    </w:p>
    <w:p>
      <w:pPr>
        <w:pStyle w:val="ListBullet"/>
        <w:spacing w:before="0" w:after="40" w:line="259" w:lineRule="auto"/>
        <w:ind w:left="317" w:hanging="173"/>
      </w:pPr>
      <w:r>
        <w:rPr>
          <w:rFonts w:ascii="Arial" w:hAnsi="Arial"/>
          <w:color w:val="172033"/>
          <w:sz w:val="20"/>
        </w:rPr>
        <w:t>One SIRE period export with multiple invoices under a single PO.</w:t>
      </w:r>
    </w:p>
    <w:p>
      <w:pPr>
        <w:pStyle w:val="Heading1"/>
        <w:keepNext/>
        <w:spacing w:before="240" w:after="120"/>
      </w:pPr>
      <w:r>
        <w:rPr>
          <w:rFonts w:ascii="Arial" w:hAnsi="Arial"/>
          <w:b/>
          <w:color w:val="0A3D62"/>
          <w:sz w:val="30"/>
        </w:rPr>
        <w:t>9. Final Target Workflow After Alignment</w:t>
      </w:r>
    </w:p>
    <w:tbl>
      <w:tblPr>
        <w:tblW w:type="auto" w:w="0"/>
        <w:jc w:val="center"/>
        <w:tblLayout w:type="fixed"/>
        <w:tblLook w:firstColumn="1" w:firstRow="1" w:lastColumn="0" w:lastRow="0" w:noHBand="0" w:noVBand="1" w:val="04A0"/>
      </w:tblPr>
      <w:tblGrid>
        <w:gridCol w:w="9994"/>
      </w:tblGrid>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r>
              <w:rPr>
                <w:rFonts w:ascii="Aptos" w:hAnsi="Aptos"/>
                <w:sz w:val="17"/>
              </w:rPr>
              <w:t>1. Create Request / BORRADOR</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2. Validate master data, CeCo, expense type and phase-specific documents</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3. Supplier registered and homologated as required</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4. Submit / ENVIADO → PENDIENTE_APROBACION</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5. Director approval</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6. Vice Rector approval (unless an approved exception route applies)</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7. Budget validation and COMPROMISO_PRESUPUESTAL</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8. Procurement / PO where applicable</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9. Invoice/RxH + XML/PDF/conformity and SUNAT/duplicate validation</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10. Accounting validation → CONTABILIZADO → CXP</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11. Treasury scheduling → PROGRAMADO</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12. Certified bank TXT → TXT_GENERADO</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13. Bank executes payment; Treasury confirms operation → PAGADO</w:t>
            </w:r>
          </w:p>
        </w:tc>
      </w:tr>
      <w:tr>
        <w:tc>
          <w:tcPr>
            <w:tcW w:type="dxa" w:w="9994"/>
          </w:tcPr>
          <w:p>
            <w:pPr>
              <w:jc w:val="center"/>
            </w:pPr>
            <w:r>
              <w:rPr>
                <w:rFonts w:ascii="Arial" w:hAnsi="Arial"/>
                <w:b/>
                <w:color w:val="007FFF"/>
                <w:sz w:val="26"/>
              </w:rPr>
              <w:t>↓</w:t>
            </w:r>
          </w:p>
        </w:tc>
      </w:tr>
      <w:tr>
        <w:tc>
          <w:tcPr>
            <w:tcW w:type="dxa" w:w="8424"/>
            <w:shd w:fill="EAF4FF"/>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0A3D62"/>
                <w:sz w:val="19"/>
              </w:rPr>
              <w:t>14. Reconciliation → CONCILIADO</w:t>
            </w:r>
          </w:p>
        </w:tc>
      </w:tr>
      <w:tr>
        <w:tc>
          <w:tcPr>
            <w:tcW w:type="dxa" w:w="9994"/>
          </w:tcPr>
          <w:p>
            <w:pPr>
              <w:jc w:val="center"/>
            </w:pPr>
            <w:r>
              <w:rPr>
                <w:rFonts w:ascii="Arial" w:hAnsi="Arial"/>
                <w:b/>
                <w:color w:val="007FFF"/>
                <w:sz w:val="26"/>
              </w:rPr>
              <w:t>↓</w:t>
            </w:r>
          </w:p>
        </w:tc>
      </w:tr>
      <w:tr>
        <w:tc>
          <w:tcPr>
            <w:tcW w:type="dxa" w:w="8424"/>
            <w:shd w:fill="EAF7EE"/>
            <w:tcBorders>
              <w:top w:sz="8" w:val="single" w:color="D6E9FF"/>
              <w:left w:sz="8" w:val="single" w:color="D6E9FF"/>
              <w:bottom w:sz="8" w:val="single" w:color="D6E9FF"/>
              <w:right w:sz="8" w:val="single" w:color="D6E9FF"/>
            </w:tcBorders>
            <w:tcMar>
              <w:top w:w="110" w:type="dxa"/>
              <w:start w:w="140" w:type="dxa"/>
              <w:bottom w:w="110" w:type="dxa"/>
              <w:end w:w="140" w:type="dxa"/>
            </w:tcMar>
          </w:tcPr>
          <w:p>
            <w:pPr>
              <w:jc w:val="center"/>
            </w:pPr>
            <w:r>
              <w:rPr>
                <w:rFonts w:ascii="Arial" w:hAnsi="Arial"/>
                <w:b/>
                <w:color w:val="15803D"/>
                <w:sz w:val="19"/>
              </w:rPr>
              <w:t>15. SIRE / period reporting and final accounting close → CERRADO</w:t>
            </w:r>
          </w:p>
        </w:tc>
      </w:tr>
    </w:tbl>
    <w:p>
      <w:pPr>
        <w:spacing w:after="20"/>
      </w:pPr>
    </w:p>
    <w:p>
      <w:pPr>
        <w:pStyle w:val="Heading2"/>
        <w:keepNext/>
        <w:spacing w:before="180" w:after="80"/>
      </w:pPr>
      <w:r>
        <w:t>Recommended Canonical Status Model &amp; Dependencies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tcMar>
              <w:top w:w="70" w:type="dxa"/>
              <w:start w:w="80" w:type="dxa"/>
              <w:bottom w:w="70" w:type="dxa"/>
              <w:end w:w="80" w:type="dxa"/>
            </w:tcMar>
            <w:vAlign w:val="center"/>
            <w:shd w:fill="1F4E78"/>
          </w:tcPr>
          <w:p>
            <w:pPr>
              <w:spacing w:before="0" w:after="0" w:line="240" w:lineRule="auto"/>
            </w:pPr>
            <w:r>
              <w:rPr>
                <w:rFonts w:ascii="Aptos" w:hAnsi="Aptos"/>
                <w:b/>
                <w:color w:val="FFFFFF"/>
                <w:sz w:val="14"/>
              </w:rPr>
              <w:t>Canonical state</w:t>
            </w:r>
          </w:p>
        </w:tc>
        <w:tc>
          <w:tcPr>
            <w:tcW w:type="dxa" w:w="3960"/>
            <w:tcMar>
              <w:top w:w="70" w:type="dxa"/>
              <w:start w:w="80" w:type="dxa"/>
              <w:bottom w:w="70" w:type="dxa"/>
              <w:end w:w="80" w:type="dxa"/>
            </w:tcMar>
            <w:vAlign w:val="center"/>
            <w:shd w:fill="1F4E78"/>
          </w:tcPr>
          <w:p>
            <w:pPr>
              <w:spacing w:before="0" w:after="0" w:line="240" w:lineRule="auto"/>
            </w:pPr>
            <w:r>
              <w:rPr>
                <w:rFonts w:ascii="Aptos" w:hAnsi="Aptos"/>
                <w:b/>
                <w:color w:val="FFFFFF"/>
                <w:sz w:val="14"/>
              </w:rPr>
              <w:t>Required dependency / automatic trigger</w:t>
            </w:r>
          </w:p>
        </w:tc>
        <w:tc>
          <w:tcPr>
            <w:tcW w:type="dxa" w:w="3672"/>
            <w:tcMar>
              <w:top w:w="70" w:type="dxa"/>
              <w:start w:w="80" w:type="dxa"/>
              <w:bottom w:w="70" w:type="dxa"/>
              <w:end w:w="80" w:type="dxa"/>
            </w:tcMar>
            <w:vAlign w:val="center"/>
            <w:shd w:fill="1F4E78"/>
          </w:tcPr>
          <w:p>
            <w:pPr>
              <w:spacing w:before="0" w:after="0" w:line="240" w:lineRule="auto"/>
            </w:pPr>
            <w:r>
              <w:rPr>
                <w:rFonts w:ascii="Aptos" w:hAnsi="Aptos"/>
                <w:b/>
                <w:color w:val="FFFFFF"/>
                <w:sz w:val="14"/>
              </w:rPr>
              <w:t>Recommended rule</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BORRADOR</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Request created; no prior dependency.</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Editable preparation state. No financial effect.</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PENDIENTE_APROBACION</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Requester selects Submit and submission-phase validations succeed.</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Use as the canonical post-submit state. Record ENVIADO as an event/timestamp; use EN_VALIDACION only as a processing/validation substatus.</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APROBADO_DIRECTOR</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PENDIENTE_APROBACION + Director approval action.</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Backend approval service sets the state; users do not select it.</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APROBADO_VICERRECTOR</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APROBADO_DIRECTOR + Vice Rector approval, unless a formally configured and snapshotted approval-route exception applies.</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No ad-hoc skipping. Track B may skip only if UMA formally approves that route.</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COMPROMISO_PRESUPUESTAL</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Required approvals complete + budget validation + successful commitment/reservation record.</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Budget service sets the milestone and the committed amount must reconcile to the request/lines.</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CONTABILIZADO</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Budget milestone complete + required fiscal/SUNAT evidence + open accounting period + accounting validation/CXP creation as applicable.</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Use CONTABILIZADO as the canonical parent milestone. Treat PROVISIONADO_CXP as dependent CXP/accounting evidence, not a competing parent status.</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PROGRAMADO</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Applicable active CXP(s) have valid payment destination and Treasury schedule.</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For multi-invoice requests, parent advances only when all applicable active CXP(s) are scheduled. Otherwise show derived partial progress.</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TXT_GENERADO</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PROGRAMADO + BBVA batch validation + successful fixed-width TXT generation + stored batch/hash/audit metadata.</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Payment instruction generated only. TXT_GENERADO must never imply PAGADO.</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PAGADO</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Confirmed bank execution for all applicable active obligations, with operation/reference, actual date and amount.</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Never infer from file generation. If only some child obligations are paid, keep the parent at the highest fully completed milestone and display partial payment progress.</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CONCILIADO</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PAGADO + successful reconciliation for all applicable active obligations.</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Reconciliation evidence must tie back to payment/CXP/request.</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4"/>
              </w:rPr>
              <w:t>CERRADO</w:t>
            </w:r>
          </w:p>
        </w:tc>
        <w:tc>
          <w:tcPr>
            <w:tcW w:type="dxa" w:w="3960"/>
            <w:tcMar>
              <w:top w:w="70" w:type="dxa"/>
              <w:start w:w="80" w:type="dxa"/>
              <w:bottom w:w="70" w:type="dxa"/>
              <w:end w:w="80" w:type="dxa"/>
            </w:tcMar>
            <w:vAlign w:val="center"/>
          </w:tcPr>
          <w:p>
            <w:pPr>
              <w:spacing w:before="0" w:after="0" w:line="240" w:lineRule="auto"/>
            </w:pPr>
            <w:r>
              <w:rPr>
                <w:rFonts w:ascii="Aptos" w:hAnsi="Aptos"/>
                <w:sz w:val="14"/>
              </w:rPr>
              <w:t>All mandatory approvals, budget/accounting obligations and applicable child payments/reconciliations complete; no open exception; Track C rendition settled when applicable.</w:t>
            </w:r>
          </w:p>
        </w:tc>
        <w:tc>
          <w:tcPr>
            <w:tcW w:type="dxa" w:w="3672"/>
            <w:tcMar>
              <w:top w:w="70" w:type="dxa"/>
              <w:start w:w="80" w:type="dxa"/>
              <w:bottom w:w="70" w:type="dxa"/>
              <w:end w:w="80" w:type="dxa"/>
            </w:tcMar>
            <w:vAlign w:val="center"/>
          </w:tcPr>
          <w:p>
            <w:pPr>
              <w:spacing w:before="0" w:after="0" w:line="240" w:lineRule="auto"/>
            </w:pPr>
            <w:r>
              <w:rPr>
                <w:rFonts w:ascii="Aptos" w:hAnsi="Aptos"/>
                <w:sz w:val="14"/>
              </w:rPr>
              <w:t>Terminal completion state. Historical records remain immutable.</w:t>
            </w:r>
          </w:p>
        </w:tc>
      </w:tr>
    </w:tbl>
    <w:p>
      <w:pPr>
        <w:pStyle w:val="Heading3"/>
      </w:pPr>
      <w:r>
        <w:t>Recommended Status Governance Rules</w:t>
      </w:r>
    </w:p>
    <w:p>
      <w:pPr>
        <w:pStyle w:val="ListBullet"/>
        <w:spacing w:after="60"/>
      </w:pPr>
      <w:r>
        <w:rPr>
          <w:rFonts w:ascii="Aptos" w:hAnsi="Aptos"/>
          <w:b/>
          <w:sz w:val="17"/>
        </w:rPr>
        <w:t xml:space="preserve">No manual status dropdown. </w:t>
      </w:r>
      <w:r>
        <w:rPr>
          <w:rFonts w:ascii="Aptos" w:hAnsi="Aptos"/>
          <w:sz w:val="17"/>
        </w:rPr>
        <w:t>Normal users should perform business actions (Submit, Approve, Commit Budget, Account, Schedule, Generate BBVA TXT, Confirm Payment, Reconcile). The backend changes status only after validating the evidence for that action.</w:t>
      </w:r>
    </w:p>
    <w:p>
      <w:pPr>
        <w:pStyle w:val="ListBullet"/>
        <w:spacing w:after="60"/>
      </w:pPr>
      <w:r>
        <w:rPr>
          <w:rFonts w:ascii="Aptos" w:hAnsi="Aptos"/>
          <w:b/>
          <w:sz w:val="17"/>
        </w:rPr>
        <w:t xml:space="preserve">No forward skipping. </w:t>
      </w:r>
      <w:r>
        <w:rPr>
          <w:rFonts w:ascii="Aptos" w:hAnsi="Aptos"/>
          <w:sz w:val="17"/>
        </w:rPr>
        <w:t>A transition must satisfy its dependency chain. A configured approval-route exception may skip a specific approval level only when that route was formally configured and snapshotted for the request.</w:t>
      </w:r>
    </w:p>
    <w:p>
      <w:pPr>
        <w:pStyle w:val="ListBullet"/>
        <w:spacing w:after="60"/>
      </w:pPr>
      <w:r>
        <w:rPr>
          <w:rFonts w:ascii="Aptos" w:hAnsi="Aptos"/>
          <w:b/>
          <w:sz w:val="17"/>
        </w:rPr>
        <w:t xml:space="preserve">Keep event names separate from canonical states. </w:t>
      </w:r>
      <w:r>
        <w:rPr>
          <w:rFonts w:ascii="Aptos" w:hAnsi="Aptos"/>
          <w:sz w:val="17"/>
        </w:rPr>
        <w:t>ENVIADO is best treated as the submission event; EN_VALIDACION can be a validation phase/substatus. This avoids three labels representing almost the same intake moment.</w:t>
      </w:r>
    </w:p>
    <w:p>
      <w:pPr>
        <w:pStyle w:val="ListBullet"/>
        <w:spacing w:after="60"/>
      </w:pPr>
      <w:r>
        <w:rPr>
          <w:rFonts w:ascii="Aptos" w:hAnsi="Aptos"/>
          <w:b/>
          <w:sz w:val="17"/>
        </w:rPr>
        <w:t xml:space="preserve">Keep child evidence separate from parent state. </w:t>
      </w:r>
      <w:r>
        <w:rPr>
          <w:rFonts w:ascii="Aptos" w:hAnsi="Aptos"/>
          <w:sz w:val="17"/>
        </w:rPr>
        <w:t>PROVISIONADO_CXP is better represented by the existence/status of the CXP record while the parent request uses CONTABILIZADO as the canonical accounting milestone.</w:t>
      </w:r>
    </w:p>
    <w:p>
      <w:pPr>
        <w:pStyle w:val="ListBullet"/>
        <w:spacing w:after="60"/>
      </w:pPr>
      <w:r>
        <w:rPr>
          <w:rFonts w:ascii="Aptos" w:hAnsi="Aptos"/>
          <w:b/>
          <w:sz w:val="17"/>
        </w:rPr>
        <w:t xml:space="preserve">Use derived partial progress. </w:t>
      </w:r>
      <w:r>
        <w:rPr>
          <w:rFonts w:ascii="Aptos" w:hAnsi="Aptos"/>
          <w:sz w:val="17"/>
        </w:rPr>
        <w:t>For multi-invoice requests, show counts and amounts such as “2/3 facturas contabilizadas” or “S/ 8,000 de S/ 12,000 pagado”. Do not create manually editable core states such as PARCIALMENTE_PAGADO.</w:t>
      </w:r>
    </w:p>
    <w:p>
      <w:pPr>
        <w:pStyle w:val="ListBullet"/>
        <w:spacing w:after="60"/>
      </w:pPr>
      <w:r>
        <w:rPr>
          <w:rFonts w:ascii="Aptos" w:hAnsi="Aptos"/>
          <w:b/>
          <w:sz w:val="17"/>
        </w:rPr>
        <w:t xml:space="preserve">Preserve the last valid checkpoint on exceptions. </w:t>
      </w:r>
      <w:r>
        <w:rPr>
          <w:rFonts w:ascii="Aptos" w:hAnsi="Aptos"/>
          <w:sz w:val="17"/>
        </w:rPr>
        <w:t>OBSERVADO or DEVUELTO should record where the request came from and which role must correct it; after correction, the request re-enters the appropriate gate and validations run again.</w:t>
      </w:r>
    </w:p>
    <w:p>
      <w:pPr>
        <w:pStyle w:val="ListBullet"/>
        <w:spacing w:after="60"/>
      </w:pPr>
      <w:r>
        <w:rPr>
          <w:rFonts w:ascii="Aptos" w:hAnsi="Aptos"/>
          <w:b/>
          <w:sz w:val="17"/>
        </w:rPr>
        <w:t xml:space="preserve">Terminal states are protected. </w:t>
      </w:r>
      <w:r>
        <w:rPr>
          <w:rFonts w:ascii="Aptos" w:hAnsi="Aptos"/>
          <w:sz w:val="17"/>
        </w:rPr>
        <w:t>RECHAZADO and ANULADO stop the forward workflow. Any committed budget or unpaid obligation must be released/cancelled according to the stage, without deleting history.</w:t>
      </w:r>
    </w:p>
    <w:p>
      <w:pPr>
        <w:pStyle w:val="ListBullet"/>
        <w:spacing w:after="60"/>
      </w:pPr>
      <w:r>
        <w:rPr>
          <w:rFonts w:ascii="Aptos" w:hAnsi="Aptos"/>
          <w:b/>
          <w:sz w:val="17"/>
        </w:rPr>
        <w:t xml:space="preserve">Payment and rendition are separate dimensions. </w:t>
      </w:r>
      <w:r>
        <w:rPr>
          <w:rFonts w:ascii="Aptos" w:hAnsi="Aptos"/>
          <w:sz w:val="17"/>
        </w:rPr>
        <w:t>For Track C, an advance may be PAGADO while RENDICION_PENDIENTE remains open. Therefore renditionStatus should be separate from the payment/request status and must be settled before CERRADO.</w:t>
      </w:r>
    </w:p>
    <w:p>
      <w:pPr>
        <w:pStyle w:val="Heading3"/>
      </w:pPr>
      <w:r>
        <w:t>Exception and Parallel Status Legend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2232"/>
            <w:tcMar>
              <w:top w:w="80" w:type="dxa"/>
              <w:start w:w="90" w:type="dxa"/>
              <w:bottom w:w="80" w:type="dxa"/>
              <w:end w:w="90" w:type="dxa"/>
            </w:tcMar>
            <w:vAlign w:val="center"/>
            <w:shd w:fill="1F4E78"/>
          </w:tcPr>
          <w:p>
            <w:pPr>
              <w:spacing w:after="0" w:before="0" w:line="240" w:lineRule="auto"/>
            </w:pPr>
            <w:r>
              <w:rPr>
                <w:rFonts w:ascii="Aptos" w:hAnsi="Aptos"/>
                <w:b/>
                <w:color w:val="FFFFFF"/>
                <w:sz w:val="15"/>
              </w:rPr>
              <w:t>Status</w:t>
            </w:r>
          </w:p>
        </w:tc>
        <w:tc>
          <w:tcPr>
            <w:tcW w:type="dxa" w:w="2232"/>
            <w:tcMar>
              <w:top w:w="80" w:type="dxa"/>
              <w:start w:w="90" w:type="dxa"/>
              <w:bottom w:w="80" w:type="dxa"/>
              <w:end w:w="90" w:type="dxa"/>
            </w:tcMar>
            <w:vAlign w:val="center"/>
            <w:shd w:fill="1F4E78"/>
          </w:tcPr>
          <w:p>
            <w:pPr>
              <w:spacing w:after="0" w:before="0" w:line="240" w:lineRule="auto"/>
            </w:pPr>
            <w:r>
              <w:rPr>
                <w:rFonts w:ascii="Aptos" w:hAnsi="Aptos"/>
                <w:b/>
                <w:color w:val="FFFFFF"/>
                <w:sz w:val="15"/>
              </w:rPr>
              <w:t>Class</w:t>
            </w:r>
          </w:p>
        </w:tc>
        <w:tc>
          <w:tcPr>
            <w:tcW w:type="dxa" w:w="3528"/>
            <w:tcMar>
              <w:top w:w="80" w:type="dxa"/>
              <w:start w:w="90" w:type="dxa"/>
              <w:bottom w:w="80" w:type="dxa"/>
              <w:end w:w="90" w:type="dxa"/>
            </w:tcMar>
            <w:vAlign w:val="center"/>
            <w:shd w:fill="1F4E78"/>
          </w:tcPr>
          <w:p>
            <w:pPr>
              <w:spacing w:after="0" w:before="0" w:line="240" w:lineRule="auto"/>
            </w:pPr>
            <w:r>
              <w:rPr>
                <w:rFonts w:ascii="Aptos" w:hAnsi="Aptos"/>
                <w:b/>
                <w:color w:val="FFFFFF"/>
                <w:sz w:val="15"/>
              </w:rPr>
              <w:t>Dependency / behavior</w:t>
            </w:r>
          </w:p>
        </w:tc>
        <w:tc>
          <w:tcPr>
            <w:tcW w:type="dxa" w:w="3888"/>
            <w:tcMar>
              <w:top w:w="80" w:type="dxa"/>
              <w:start w:w="90" w:type="dxa"/>
              <w:bottom w:w="80" w:type="dxa"/>
              <w:end w:w="90" w:type="dxa"/>
            </w:tcMar>
            <w:vAlign w:val="center"/>
            <w:shd w:fill="1F4E78"/>
          </w:tcPr>
          <w:p>
            <w:pPr>
              <w:spacing w:after="0" w:before="0" w:line="240" w:lineRule="auto"/>
            </w:pPr>
            <w:r>
              <w:rPr>
                <w:rFonts w:ascii="Aptos" w:hAnsi="Aptos"/>
                <w:b/>
                <w:color w:val="FFFFFF"/>
                <w:sz w:val="15"/>
              </w:rPr>
              <w:t>Recommended treatment</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OBSERVADO</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Non-terminal exception</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Can be raised at a controlled review gate when correction/evidence is required.</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Store observation reason, source checkpoint and responsible role. After correction, revalidate and return to the appropriate gate.</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DEVUELTO</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Non-terminal return</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Returns work to requester/previous responsible stage.</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Do not erase prior approvals/history. Forward progress resumes only after required correction and validation.</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RECHAZADO</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Terminal exception</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Explicit authorized rejection.</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Stop forward processing; release commitment/cancel unpaid obligations if already created; preserve audit history.</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ANULADO</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Terminal cancellation</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Authorized cancellation of an existing request.</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Run stage-aware rollback/release controls. Never delete the original request/history.</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EN_VALIDACION</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Validation substatus</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System/document/SUNAT/master-data checks before an allowed transition.</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Prefer substatus/processing phase rather than a competing canonical request state.</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ENVIADO</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Workflow event</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Requester submitted the request.</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Record as event/timestamp; canonical state becomes PENDIENTE_APROBACION after submission gate succeeds.</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PROVISIONADO_CXP</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Dependent accounting status</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CXP/provision record exists after accounting processing.</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Represent on the CXP/accounting object and in request financial progress; canonical parent milestone remains CONTABILIZADO.</w:t>
            </w:r>
          </w:p>
        </w:tc>
      </w:tr>
      <w:tr>
        <w:tc>
          <w:tcPr>
            <w:tcW w:type="dxa" w:w="2232"/>
            <w:tcMar>
              <w:top w:w="80" w:type="dxa"/>
              <w:start w:w="90" w:type="dxa"/>
              <w:bottom w:w="80" w:type="dxa"/>
              <w:end w:w="90" w:type="dxa"/>
            </w:tcMar>
            <w:vAlign w:val="center"/>
          </w:tcPr>
          <w:p>
            <w:pPr>
              <w:spacing w:after="0" w:before="0" w:line="240" w:lineRule="auto"/>
            </w:pPr>
            <w:r>
              <w:rPr>
                <w:rFonts w:ascii="Aptos" w:hAnsi="Aptos"/>
                <w:sz w:val="15"/>
              </w:rPr>
              <w:t>RENDICION_PENDIENTE</w:t>
            </w:r>
          </w:p>
        </w:tc>
        <w:tc>
          <w:tcPr>
            <w:tcW w:type="dxa" w:w="2232"/>
            <w:tcMar>
              <w:top w:w="80" w:type="dxa"/>
              <w:start w:w="90" w:type="dxa"/>
              <w:bottom w:w="80" w:type="dxa"/>
              <w:end w:w="90" w:type="dxa"/>
            </w:tcMar>
            <w:vAlign w:val="center"/>
          </w:tcPr>
          <w:p>
            <w:pPr>
              <w:spacing w:after="0" w:before="0" w:line="240" w:lineRule="auto"/>
            </w:pPr>
            <w:r>
              <w:rPr>
                <w:rFonts w:ascii="Aptos" w:hAnsi="Aptos"/>
                <w:sz w:val="15"/>
              </w:rPr>
              <w:t>Track C parallel status</w:t>
            </w:r>
          </w:p>
        </w:tc>
        <w:tc>
          <w:tcPr>
            <w:tcW w:type="dxa" w:w="3528"/>
            <w:tcMar>
              <w:top w:w="80" w:type="dxa"/>
              <w:start w:w="90" w:type="dxa"/>
              <w:bottom w:w="80" w:type="dxa"/>
              <w:end w:w="90" w:type="dxa"/>
            </w:tcMar>
            <w:vAlign w:val="center"/>
          </w:tcPr>
          <w:p>
            <w:pPr>
              <w:spacing w:after="0" w:before="0" w:line="240" w:lineRule="auto"/>
            </w:pPr>
            <w:r>
              <w:rPr>
                <w:rFonts w:ascii="Aptos" w:hAnsi="Aptos"/>
                <w:sz w:val="15"/>
              </w:rPr>
              <w:t>Advance has been disbursed but required rendition is not yet validated/settled.</w:t>
            </w:r>
          </w:p>
        </w:tc>
        <w:tc>
          <w:tcPr>
            <w:tcW w:type="dxa" w:w="3888"/>
            <w:tcMar>
              <w:top w:w="80" w:type="dxa"/>
              <w:start w:w="90" w:type="dxa"/>
              <w:bottom w:w="80" w:type="dxa"/>
              <w:end w:w="90" w:type="dxa"/>
            </w:tcMar>
            <w:vAlign w:val="center"/>
          </w:tcPr>
          <w:p>
            <w:pPr>
              <w:spacing w:after="0" w:before="0" w:line="240" w:lineRule="auto"/>
            </w:pPr>
            <w:r>
              <w:rPr>
                <w:rFonts w:ascii="Aptos" w:hAnsi="Aptos"/>
                <w:sz w:val="15"/>
              </w:rPr>
              <w:t>Store as renditionStatus. It may coexist with PAGADO and blocks CERRADO until settled.</w:t>
            </w:r>
          </w:p>
        </w:tc>
      </w:tr>
    </w:tbl>
    <w:p>
      <w:pPr>
        <w:pStyle w:val="Heading3"/>
      </w:pPr>
      <w:r>
        <w:t>A1/A2 Multi-Invoice Parent Status Recommendation</w:t>
      </w:r>
    </w:p>
    <w:p>
      <w:pPr>
        <w:spacing w:after="120" w:line="252" w:lineRule="auto"/>
      </w:pPr>
      <w:r>
        <w:rPr>
          <w:rFonts w:ascii="Aptos" w:hAnsi="Aptos"/>
          <w:sz w:val="19"/>
        </w:rPr>
        <w:t>Recommended rule: the parent request keeps the highest milestone that is fully satisfied by all applicable active child obligations. Partial child completion is calculated dynamically and displayed as progress; it does not overwrite the canonical parent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600"/>
            <w:tcMar>
              <w:top w:w="80" w:type="dxa"/>
              <w:start w:w="90" w:type="dxa"/>
              <w:bottom w:w="80" w:type="dxa"/>
              <w:end w:w="90" w:type="dxa"/>
            </w:tcMar>
            <w:vAlign w:val="center"/>
            <w:shd w:fill="1F4E78"/>
          </w:tcPr>
          <w:p>
            <w:pPr>
              <w:spacing w:after="0" w:before="0" w:line="240" w:lineRule="auto"/>
            </w:pPr>
            <w:r>
              <w:rPr>
                <w:rFonts w:ascii="Aptos" w:hAnsi="Aptos"/>
                <w:b/>
                <w:color w:val="FFFFFF"/>
                <w:sz w:val="15"/>
              </w:rPr>
              <w:t>Child situation</w:t>
            </w:r>
          </w:p>
        </w:tc>
        <w:tc>
          <w:tcPr>
            <w:tcW w:type="dxa" w:w="2304"/>
            <w:tcMar>
              <w:top w:w="80" w:type="dxa"/>
              <w:start w:w="90" w:type="dxa"/>
              <w:bottom w:w="80" w:type="dxa"/>
              <w:end w:w="90" w:type="dxa"/>
            </w:tcMar>
            <w:vAlign w:val="center"/>
            <w:shd w:fill="1F4E78"/>
          </w:tcPr>
          <w:p>
            <w:pPr>
              <w:spacing w:after="0" w:before="0" w:line="240" w:lineRule="auto"/>
            </w:pPr>
            <w:r>
              <w:rPr>
                <w:rFonts w:ascii="Aptos" w:hAnsi="Aptos"/>
                <w:b/>
                <w:color w:val="FFFFFF"/>
                <w:sz w:val="15"/>
              </w:rPr>
              <w:t>Parent canonical state</w:t>
            </w:r>
          </w:p>
        </w:tc>
        <w:tc>
          <w:tcPr>
            <w:tcW w:type="dxa" w:w="3312"/>
            <w:tcMar>
              <w:top w:w="80" w:type="dxa"/>
              <w:start w:w="90" w:type="dxa"/>
              <w:bottom w:w="80" w:type="dxa"/>
              <w:end w:w="90" w:type="dxa"/>
            </w:tcMar>
            <w:vAlign w:val="center"/>
            <w:shd w:fill="1F4E78"/>
          </w:tcPr>
          <w:p>
            <w:pPr>
              <w:spacing w:after="0" w:before="0" w:line="240" w:lineRule="auto"/>
            </w:pPr>
            <w:r>
              <w:rPr>
                <w:rFonts w:ascii="Aptos" w:hAnsi="Aptos"/>
                <w:b/>
                <w:color w:val="FFFFFF"/>
                <w:sz w:val="15"/>
              </w:rPr>
              <w:t>Derived UI/report label</w:t>
            </w:r>
          </w:p>
        </w:tc>
        <w:tc>
          <w:tcPr>
            <w:tcW w:type="dxa" w:w="3456"/>
            <w:tcMar>
              <w:top w:w="80" w:type="dxa"/>
              <w:start w:w="90" w:type="dxa"/>
              <w:bottom w:w="80" w:type="dxa"/>
              <w:end w:w="90" w:type="dxa"/>
            </w:tcMar>
            <w:vAlign w:val="center"/>
            <w:shd w:fill="1F4E78"/>
          </w:tcPr>
          <w:p>
            <w:pPr>
              <w:spacing w:after="0" w:before="0" w:line="240" w:lineRule="auto"/>
            </w:pPr>
            <w:r>
              <w:rPr>
                <w:rFonts w:ascii="Aptos" w:hAnsi="Aptos"/>
                <w:b/>
                <w:color w:val="FFFFFF"/>
                <w:sz w:val="15"/>
              </w:rPr>
              <w:t>Reason</w:t>
            </w:r>
          </w:p>
        </w:tc>
      </w:tr>
      <w:tr>
        <w:tc>
          <w:tcPr>
            <w:tcW w:type="dxa" w:w="3600"/>
            <w:tcMar>
              <w:top w:w="80" w:type="dxa"/>
              <w:start w:w="90" w:type="dxa"/>
              <w:bottom w:w="80" w:type="dxa"/>
              <w:end w:w="90" w:type="dxa"/>
            </w:tcMar>
            <w:vAlign w:val="center"/>
          </w:tcPr>
          <w:p>
            <w:pPr>
              <w:spacing w:after="0" w:before="0" w:line="240" w:lineRule="auto"/>
            </w:pPr>
            <w:r>
              <w:rPr>
                <w:rFonts w:ascii="Aptos" w:hAnsi="Aptos"/>
                <w:sz w:val="15"/>
              </w:rPr>
              <w:t>3 invoices: all CONTABILIZADO; only 2 scheduled</w:t>
            </w:r>
          </w:p>
        </w:tc>
        <w:tc>
          <w:tcPr>
            <w:tcW w:type="dxa" w:w="2304"/>
            <w:tcMar>
              <w:top w:w="80" w:type="dxa"/>
              <w:start w:w="90" w:type="dxa"/>
              <w:bottom w:w="80" w:type="dxa"/>
              <w:end w:w="90" w:type="dxa"/>
            </w:tcMar>
            <w:vAlign w:val="center"/>
          </w:tcPr>
          <w:p>
            <w:pPr>
              <w:spacing w:after="0" w:before="0" w:line="240" w:lineRule="auto"/>
            </w:pPr>
            <w:r>
              <w:rPr>
                <w:rFonts w:ascii="Aptos" w:hAnsi="Aptos"/>
                <w:sz w:val="15"/>
              </w:rPr>
              <w:t>CONTABILIZADO</w:t>
            </w:r>
          </w:p>
        </w:tc>
        <w:tc>
          <w:tcPr>
            <w:tcW w:type="dxa" w:w="3312"/>
            <w:tcMar>
              <w:top w:w="80" w:type="dxa"/>
              <w:start w:w="90" w:type="dxa"/>
              <w:bottom w:w="80" w:type="dxa"/>
              <w:end w:w="90" w:type="dxa"/>
            </w:tcMar>
            <w:vAlign w:val="center"/>
          </w:tcPr>
          <w:p>
            <w:pPr>
              <w:spacing w:after="0" w:before="0" w:line="240" w:lineRule="auto"/>
            </w:pPr>
            <w:r>
              <w:rPr>
                <w:rFonts w:ascii="Aptos" w:hAnsi="Aptos"/>
                <w:sz w:val="15"/>
              </w:rPr>
              <w:t>2/3 scheduled / amount scheduled</w:t>
            </w:r>
          </w:p>
        </w:tc>
        <w:tc>
          <w:tcPr>
            <w:tcW w:type="dxa" w:w="3456"/>
            <w:tcMar>
              <w:top w:w="80" w:type="dxa"/>
              <w:start w:w="90" w:type="dxa"/>
              <w:bottom w:w="80" w:type="dxa"/>
              <w:end w:w="90" w:type="dxa"/>
            </w:tcMar>
            <w:vAlign w:val="center"/>
          </w:tcPr>
          <w:p>
            <w:pPr>
              <w:spacing w:after="0" w:before="0" w:line="240" w:lineRule="auto"/>
            </w:pPr>
            <w:r>
              <w:rPr>
                <w:rFonts w:ascii="Aptos" w:hAnsi="Aptos"/>
                <w:sz w:val="15"/>
              </w:rPr>
              <w:t>PROGRAMADO is not true for the whole request yet.</w:t>
            </w:r>
          </w:p>
        </w:tc>
      </w:tr>
      <w:tr>
        <w:tc>
          <w:tcPr>
            <w:tcW w:type="dxa" w:w="3600"/>
            <w:tcMar>
              <w:top w:w="80" w:type="dxa"/>
              <w:start w:w="90" w:type="dxa"/>
              <w:bottom w:w="80" w:type="dxa"/>
              <w:end w:w="90" w:type="dxa"/>
            </w:tcMar>
            <w:vAlign w:val="center"/>
          </w:tcPr>
          <w:p>
            <w:pPr>
              <w:spacing w:after="0" w:before="0" w:line="240" w:lineRule="auto"/>
            </w:pPr>
            <w:r>
              <w:rPr>
                <w:rFonts w:ascii="Aptos" w:hAnsi="Aptos"/>
                <w:sz w:val="15"/>
              </w:rPr>
              <w:t>3 invoices: 1 paid; 2 TXT_GENERADO</w:t>
            </w:r>
          </w:p>
        </w:tc>
        <w:tc>
          <w:tcPr>
            <w:tcW w:type="dxa" w:w="2304"/>
            <w:tcMar>
              <w:top w:w="80" w:type="dxa"/>
              <w:start w:w="90" w:type="dxa"/>
              <w:bottom w:w="80" w:type="dxa"/>
              <w:end w:w="90" w:type="dxa"/>
            </w:tcMar>
            <w:vAlign w:val="center"/>
          </w:tcPr>
          <w:p>
            <w:pPr>
              <w:spacing w:after="0" w:before="0" w:line="240" w:lineRule="auto"/>
            </w:pPr>
            <w:r>
              <w:rPr>
                <w:rFonts w:ascii="Aptos" w:hAnsi="Aptos"/>
                <w:sz w:val="15"/>
              </w:rPr>
              <w:t>TXT_GENERADO</w:t>
            </w:r>
          </w:p>
        </w:tc>
        <w:tc>
          <w:tcPr>
            <w:tcW w:type="dxa" w:w="3312"/>
            <w:tcMar>
              <w:top w:w="80" w:type="dxa"/>
              <w:start w:w="90" w:type="dxa"/>
              <w:bottom w:w="80" w:type="dxa"/>
              <w:end w:w="90" w:type="dxa"/>
            </w:tcMar>
            <w:vAlign w:val="center"/>
          </w:tcPr>
          <w:p>
            <w:pPr>
              <w:spacing w:after="0" w:before="0" w:line="240" w:lineRule="auto"/>
            </w:pPr>
            <w:r>
              <w:rPr>
                <w:rFonts w:ascii="Aptos" w:hAnsi="Aptos"/>
                <w:sz w:val="15"/>
              </w:rPr>
              <w:t>Pago parcial 1/3 + paid amount/total</w:t>
            </w:r>
          </w:p>
        </w:tc>
        <w:tc>
          <w:tcPr>
            <w:tcW w:type="dxa" w:w="3456"/>
            <w:tcMar>
              <w:top w:w="80" w:type="dxa"/>
              <w:start w:w="90" w:type="dxa"/>
              <w:bottom w:w="80" w:type="dxa"/>
              <w:end w:w="90" w:type="dxa"/>
            </w:tcMar>
            <w:vAlign w:val="center"/>
          </w:tcPr>
          <w:p>
            <w:pPr>
              <w:spacing w:after="0" w:before="0" w:line="240" w:lineRule="auto"/>
            </w:pPr>
            <w:r>
              <w:rPr>
                <w:rFonts w:ascii="Aptos" w:hAnsi="Aptos"/>
                <w:sz w:val="15"/>
              </w:rPr>
              <w:t>One successful payment must not mark the whole request PAGADO.</w:t>
            </w:r>
          </w:p>
        </w:tc>
      </w:tr>
      <w:tr>
        <w:tc>
          <w:tcPr>
            <w:tcW w:type="dxa" w:w="3600"/>
            <w:tcMar>
              <w:top w:w="80" w:type="dxa"/>
              <w:start w:w="90" w:type="dxa"/>
              <w:bottom w:w="80" w:type="dxa"/>
              <w:end w:w="90" w:type="dxa"/>
            </w:tcMar>
            <w:vAlign w:val="center"/>
          </w:tcPr>
          <w:p>
            <w:pPr>
              <w:spacing w:after="0" w:before="0" w:line="240" w:lineRule="auto"/>
            </w:pPr>
            <w:r>
              <w:rPr>
                <w:rFonts w:ascii="Aptos" w:hAnsi="Aptos"/>
                <w:sz w:val="15"/>
              </w:rPr>
              <w:t>3 invoices: all PAGADO; only 2 reconciled</w:t>
            </w:r>
          </w:p>
        </w:tc>
        <w:tc>
          <w:tcPr>
            <w:tcW w:type="dxa" w:w="2304"/>
            <w:tcMar>
              <w:top w:w="80" w:type="dxa"/>
              <w:start w:w="90" w:type="dxa"/>
              <w:bottom w:w="80" w:type="dxa"/>
              <w:end w:w="90" w:type="dxa"/>
            </w:tcMar>
            <w:vAlign w:val="center"/>
          </w:tcPr>
          <w:p>
            <w:pPr>
              <w:spacing w:after="0" w:before="0" w:line="240" w:lineRule="auto"/>
            </w:pPr>
            <w:r>
              <w:rPr>
                <w:rFonts w:ascii="Aptos" w:hAnsi="Aptos"/>
                <w:sz w:val="15"/>
              </w:rPr>
              <w:t>PAGADO</w:t>
            </w:r>
          </w:p>
        </w:tc>
        <w:tc>
          <w:tcPr>
            <w:tcW w:type="dxa" w:w="3312"/>
            <w:tcMar>
              <w:top w:w="80" w:type="dxa"/>
              <w:start w:w="90" w:type="dxa"/>
              <w:bottom w:w="80" w:type="dxa"/>
              <w:end w:w="90" w:type="dxa"/>
            </w:tcMar>
            <w:vAlign w:val="center"/>
          </w:tcPr>
          <w:p>
            <w:pPr>
              <w:spacing w:after="0" w:before="0" w:line="240" w:lineRule="auto"/>
            </w:pPr>
            <w:r>
              <w:rPr>
                <w:rFonts w:ascii="Aptos" w:hAnsi="Aptos"/>
                <w:sz w:val="15"/>
              </w:rPr>
              <w:t>2/3 reconciled</w:t>
            </w:r>
          </w:p>
        </w:tc>
        <w:tc>
          <w:tcPr>
            <w:tcW w:type="dxa" w:w="3456"/>
            <w:tcMar>
              <w:top w:w="80" w:type="dxa"/>
              <w:start w:w="90" w:type="dxa"/>
              <w:bottom w:w="80" w:type="dxa"/>
              <w:end w:w="90" w:type="dxa"/>
            </w:tcMar>
            <w:vAlign w:val="center"/>
          </w:tcPr>
          <w:p>
            <w:pPr>
              <w:spacing w:after="0" w:before="0" w:line="240" w:lineRule="auto"/>
            </w:pPr>
            <w:r>
              <w:rPr>
                <w:rFonts w:ascii="Aptos" w:hAnsi="Aptos"/>
                <w:sz w:val="15"/>
              </w:rPr>
              <w:t>CONCILIADO becomes true only after all applicable obligations reconcile.</w:t>
            </w:r>
          </w:p>
        </w:tc>
      </w:tr>
      <w:tr>
        <w:tc>
          <w:tcPr>
            <w:tcW w:type="dxa" w:w="3600"/>
            <w:tcMar>
              <w:top w:w="80" w:type="dxa"/>
              <w:start w:w="90" w:type="dxa"/>
              <w:bottom w:w="80" w:type="dxa"/>
              <w:end w:w="90" w:type="dxa"/>
            </w:tcMar>
            <w:vAlign w:val="center"/>
          </w:tcPr>
          <w:p>
            <w:pPr>
              <w:spacing w:after="0" w:before="0" w:line="240" w:lineRule="auto"/>
            </w:pPr>
            <w:r>
              <w:rPr>
                <w:rFonts w:ascii="Aptos" w:hAnsi="Aptos"/>
                <w:sz w:val="15"/>
              </w:rPr>
              <w:t>All applicable invoices/CXPs reconciled</w:t>
            </w:r>
          </w:p>
        </w:tc>
        <w:tc>
          <w:tcPr>
            <w:tcW w:type="dxa" w:w="2304"/>
            <w:tcMar>
              <w:top w:w="80" w:type="dxa"/>
              <w:start w:w="90" w:type="dxa"/>
              <w:bottom w:w="80" w:type="dxa"/>
              <w:end w:w="90" w:type="dxa"/>
            </w:tcMar>
            <w:vAlign w:val="center"/>
          </w:tcPr>
          <w:p>
            <w:pPr>
              <w:spacing w:after="0" w:before="0" w:line="240" w:lineRule="auto"/>
            </w:pPr>
            <w:r>
              <w:rPr>
                <w:rFonts w:ascii="Aptos" w:hAnsi="Aptos"/>
                <w:sz w:val="15"/>
              </w:rPr>
              <w:t>CONCILIADO</w:t>
            </w:r>
          </w:p>
        </w:tc>
        <w:tc>
          <w:tcPr>
            <w:tcW w:type="dxa" w:w="3312"/>
            <w:tcMar>
              <w:top w:w="80" w:type="dxa"/>
              <w:start w:w="90" w:type="dxa"/>
              <w:bottom w:w="80" w:type="dxa"/>
              <w:end w:w="90" w:type="dxa"/>
            </w:tcMar>
            <w:vAlign w:val="center"/>
          </w:tcPr>
          <w:p>
            <w:pPr>
              <w:spacing w:after="0" w:before="0" w:line="240" w:lineRule="auto"/>
            </w:pPr>
            <w:r>
              <w:rPr>
                <w:rFonts w:ascii="Aptos" w:hAnsi="Aptos"/>
                <w:sz w:val="15"/>
              </w:rPr>
              <w:t>100% reconciled</w:t>
            </w:r>
          </w:p>
        </w:tc>
        <w:tc>
          <w:tcPr>
            <w:tcW w:type="dxa" w:w="3456"/>
            <w:tcMar>
              <w:top w:w="80" w:type="dxa"/>
              <w:start w:w="90" w:type="dxa"/>
              <w:bottom w:w="80" w:type="dxa"/>
              <w:end w:w="90" w:type="dxa"/>
            </w:tcMar>
            <w:vAlign w:val="center"/>
          </w:tcPr>
          <w:p>
            <w:pPr>
              <w:spacing w:after="0" w:before="0" w:line="240" w:lineRule="auto"/>
            </w:pPr>
            <w:r>
              <w:rPr>
                <w:rFonts w:ascii="Aptos" w:hAnsi="Aptos"/>
                <w:sz w:val="15"/>
              </w:rPr>
              <w:t>Eligible for final closure once all other controls are complete.</w:t>
            </w:r>
          </w:p>
        </w:tc>
      </w:tr>
      <w:tr>
        <w:tc>
          <w:tcPr>
            <w:tcW w:type="dxa" w:w="3600"/>
            <w:tcMar>
              <w:top w:w="80" w:type="dxa"/>
              <w:start w:w="90" w:type="dxa"/>
              <w:bottom w:w="80" w:type="dxa"/>
              <w:end w:w="90" w:type="dxa"/>
            </w:tcMar>
            <w:vAlign w:val="center"/>
          </w:tcPr>
          <w:p>
            <w:pPr>
              <w:spacing w:after="0" w:before="0" w:line="240" w:lineRule="auto"/>
            </w:pPr>
            <w:r>
              <w:rPr>
                <w:rFonts w:ascii="Aptos" w:hAnsi="Aptos"/>
                <w:sz w:val="15"/>
              </w:rPr>
              <w:t>Track C advance paid; rendition incomplete</w:t>
            </w:r>
          </w:p>
        </w:tc>
        <w:tc>
          <w:tcPr>
            <w:tcW w:type="dxa" w:w="2304"/>
            <w:tcMar>
              <w:top w:w="80" w:type="dxa"/>
              <w:start w:w="90" w:type="dxa"/>
              <w:bottom w:w="80" w:type="dxa"/>
              <w:end w:w="90" w:type="dxa"/>
            </w:tcMar>
            <w:vAlign w:val="center"/>
          </w:tcPr>
          <w:p>
            <w:pPr>
              <w:spacing w:after="0" w:before="0" w:line="240" w:lineRule="auto"/>
            </w:pPr>
            <w:r>
              <w:rPr>
                <w:rFonts w:ascii="Aptos" w:hAnsi="Aptos"/>
                <w:sz w:val="15"/>
              </w:rPr>
              <w:t>PAGADO (payment dimension)</w:t>
            </w:r>
          </w:p>
        </w:tc>
        <w:tc>
          <w:tcPr>
            <w:tcW w:type="dxa" w:w="3312"/>
            <w:tcMar>
              <w:top w:w="80" w:type="dxa"/>
              <w:start w:w="90" w:type="dxa"/>
              <w:bottom w:w="80" w:type="dxa"/>
              <w:end w:w="90" w:type="dxa"/>
            </w:tcMar>
            <w:vAlign w:val="center"/>
          </w:tcPr>
          <w:p>
            <w:pPr>
              <w:spacing w:after="0" w:before="0" w:line="240" w:lineRule="auto"/>
            </w:pPr>
            <w:r>
              <w:rPr>
                <w:rFonts w:ascii="Aptos" w:hAnsi="Aptos"/>
                <w:sz w:val="15"/>
              </w:rPr>
              <w:t>RENDICION_PENDIENTE</w:t>
            </w:r>
          </w:p>
        </w:tc>
        <w:tc>
          <w:tcPr>
            <w:tcW w:type="dxa" w:w="3456"/>
            <w:tcMar>
              <w:top w:w="80" w:type="dxa"/>
              <w:start w:w="90" w:type="dxa"/>
              <w:bottom w:w="80" w:type="dxa"/>
              <w:end w:w="90" w:type="dxa"/>
            </w:tcMar>
            <w:vAlign w:val="center"/>
          </w:tcPr>
          <w:p>
            <w:pPr>
              <w:spacing w:after="0" w:before="0" w:line="240" w:lineRule="auto"/>
            </w:pPr>
            <w:r>
              <w:rPr>
                <w:rFonts w:ascii="Aptos" w:hAnsi="Aptos"/>
                <w:sz w:val="15"/>
              </w:rPr>
              <w:t>Payment truth and rendition truth coexist; closure remains blocked.</w:t>
            </w:r>
          </w:p>
        </w:tc>
      </w:tr>
    </w:tbl>
    <w:p>
      <w:pPr>
        <w:spacing w:after="20"/>
      </w:pPr>
    </w:p>
    <w:p>
      <w:pPr>
        <w:pStyle w:val="Heading1"/>
        <w:keepNext/>
        <w:spacing w:before="240" w:after="120"/>
      </w:pPr>
      <w:r>
        <w:rPr>
          <w:rFonts w:ascii="Arial" w:hAnsi="Arial"/>
          <w:b/>
          <w:color w:val="0A3D62"/>
          <w:sz w:val="30"/>
        </w:rPr>
        <w:t>10. Decision &amp; Action Matrix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blHeader w:val="true"/>
        </w:trPr>
        <w:tc>
          <w:tcPr>
            <w:tcW w:type="dxa" w:w="2232"/>
            <w:shd w:fill="1F4E78"/>
            <w:tcMar>
              <w:top w:w="70" w:type="dxa"/>
              <w:start w:w="80" w:type="dxa"/>
              <w:bottom w:w="70" w:type="dxa"/>
              <w:end w:w="80" w:type="dxa"/>
            </w:tcMar>
            <w:vAlign w:val="center"/>
          </w:tcPr>
          <w:p>
            <w:pPr>
              <w:spacing w:before="0" w:after="0" w:line="240" w:lineRule="auto"/>
              <w:jc w:val="center"/>
            </w:pPr>
            <w:r>
              <w:rPr>
                <w:rFonts w:ascii="Aptos" w:hAnsi="Aptos"/>
                <w:b/>
                <w:color w:val="FFFFFF"/>
                <w:sz w:val="15"/>
              </w:rPr>
              <w:t>Topic</w:t>
            </w:r>
          </w:p>
        </w:tc>
        <w:tc>
          <w:tcPr>
            <w:tcW w:type="dxa" w:w="2304"/>
            <w:shd w:fill="1F4E78"/>
            <w:tcMar>
              <w:top w:w="70" w:type="dxa"/>
              <w:start w:w="80" w:type="dxa"/>
              <w:bottom w:w="70" w:type="dxa"/>
              <w:end w:w="80" w:type="dxa"/>
            </w:tcMar>
            <w:vAlign w:val="center"/>
          </w:tcPr>
          <w:p>
            <w:pPr>
              <w:spacing w:before="0" w:after="0" w:line="240" w:lineRule="auto"/>
              <w:jc w:val="center"/>
            </w:pPr>
            <w:r>
              <w:rPr>
                <w:rFonts w:ascii="Aptos" w:hAnsi="Aptos"/>
                <w:b/>
                <w:color w:val="FFFFFF"/>
                <w:sz w:val="15"/>
              </w:rPr>
              <w:t>Can development proceed now?</w:t>
            </w:r>
          </w:p>
        </w:tc>
        <w:tc>
          <w:tcPr>
            <w:tcW w:type="dxa" w:w="3528"/>
            <w:shd w:fill="1F4E78"/>
            <w:tcMar>
              <w:top w:w="70" w:type="dxa"/>
              <w:start w:w="80" w:type="dxa"/>
              <w:bottom w:w="70" w:type="dxa"/>
              <w:end w:w="80" w:type="dxa"/>
            </w:tcMar>
            <w:vAlign w:val="center"/>
          </w:tcPr>
          <w:p>
            <w:pPr>
              <w:spacing w:before="0" w:after="0" w:line="240" w:lineRule="auto"/>
              <w:jc w:val="center"/>
            </w:pPr>
            <w:r>
              <w:rPr>
                <w:rFonts w:ascii="Aptos" w:hAnsi="Aptos"/>
                <w:b/>
                <w:color w:val="FFFFFF"/>
                <w:sz w:val="15"/>
              </w:rPr>
              <w:t>What is needed from UMA</w:t>
            </w:r>
          </w:p>
        </w:tc>
        <w:tc>
          <w:tcPr>
            <w:tcW w:type="dxa" w:w="3816"/>
            <w:shd w:fill="1F4E78"/>
            <w:tcMar>
              <w:top w:w="70" w:type="dxa"/>
              <w:start w:w="80" w:type="dxa"/>
              <w:bottom w:w="70" w:type="dxa"/>
              <w:end w:w="80" w:type="dxa"/>
            </w:tcMar>
            <w:vAlign w:val="center"/>
          </w:tcPr>
          <w:p>
            <w:pPr>
              <w:spacing w:before="0" w:after="0" w:line="240" w:lineRule="auto"/>
              <w:jc w:val="center"/>
            </w:pPr>
            <w:r>
              <w:rPr>
                <w:rFonts w:ascii="Aptos" w:hAnsi="Aptos"/>
                <w:b/>
                <w:color w:val="FFFFFF"/>
                <w:sz w:val="15"/>
              </w:rPr>
              <w:t>Action after confirmation</w:t>
            </w:r>
          </w:p>
        </w:tc>
      </w:tr>
      <w:tr>
        <w:trPr>
          <w:cantSplit/>
        </w:trPr>
        <w:tc>
          <w:tcPr>
            <w:tcW w:type="dxa" w:w="2232"/>
            <w:tcMar>
              <w:top w:w="70" w:type="dxa"/>
              <w:start w:w="80" w:type="dxa"/>
              <w:bottom w:w="70" w:type="dxa"/>
              <w:end w:w="80" w:type="dxa"/>
            </w:tcMar>
            <w:vAlign w:val="center"/>
          </w:tcPr>
          <w:p>
            <w:pPr>
              <w:spacing w:before="0" w:after="0" w:line="240" w:lineRule="auto"/>
              <w:jc w:val="left"/>
            </w:pPr>
            <w:r>
              <w:rPr>
                <w:rFonts w:ascii="Aptos" w:hAnsi="Aptos"/>
                <w:color w:val="172033"/>
                <w:sz w:val="15"/>
              </w:rPr>
              <w:t>Document rule engine</w:t>
            </w:r>
          </w:p>
        </w:tc>
        <w:tc>
          <w:tcPr>
            <w:tcW w:type="dxa" w:w="2304"/>
            <w:tcMar>
              <w:top w:w="70" w:type="dxa"/>
              <w:start w:w="80" w:type="dxa"/>
              <w:bottom w:w="70" w:type="dxa"/>
              <w:end w:w="80" w:type="dxa"/>
            </w:tcMar>
            <w:vAlign w:val="center"/>
          </w:tcPr>
          <w:p>
            <w:pPr>
              <w:spacing w:before="0" w:after="0" w:line="240" w:lineRule="auto"/>
              <w:jc w:val="left"/>
            </w:pPr>
            <w:r>
              <w:rPr>
                <w:rFonts w:ascii="Aptos" w:hAnsi="Aptos"/>
                <w:color w:val="172033"/>
                <w:sz w:val="15"/>
              </w:rPr>
              <w:t>Yes - architecture can be corrected</w:t>
            </w:r>
          </w:p>
        </w:tc>
        <w:tc>
          <w:tcPr>
            <w:tcW w:type="dxa" w:w="3528"/>
            <w:tcMar>
              <w:top w:w="70" w:type="dxa"/>
              <w:start w:w="80" w:type="dxa"/>
              <w:bottom w:w="70" w:type="dxa"/>
              <w:end w:w="80" w:type="dxa"/>
            </w:tcMar>
            <w:vAlign w:val="center"/>
          </w:tcPr>
          <w:p>
            <w:pPr>
              <w:spacing w:before="0" w:after="0" w:line="240" w:lineRule="auto"/>
              <w:jc w:val="left"/>
            </w:pPr>
            <w:r>
              <w:rPr>
                <w:rFonts w:ascii="Aptos" w:hAnsi="Aptos"/>
                <w:color w:val="172033"/>
                <w:sz w:val="15"/>
              </w:rPr>
              <w:t>Confirm phase timing for each document type</w:t>
            </w:r>
          </w:p>
        </w:tc>
        <w:tc>
          <w:tcPr>
            <w:tcW w:type="dxa" w:w="3816"/>
            <w:tcMar>
              <w:top w:w="70" w:type="dxa"/>
              <w:start w:w="80" w:type="dxa"/>
              <w:bottom w:w="70" w:type="dxa"/>
              <w:end w:w="80" w:type="dxa"/>
            </w:tcMar>
            <w:vAlign w:val="center"/>
          </w:tcPr>
          <w:p>
            <w:pPr>
              <w:spacing w:before="0" w:after="0" w:line="240" w:lineRule="auto"/>
              <w:jc w:val="left"/>
            </w:pPr>
            <w:r>
              <w:rPr>
                <w:rFonts w:ascii="Aptos" w:hAnsi="Aptos"/>
                <w:color w:val="172033"/>
                <w:sz w:val="15"/>
              </w:rPr>
              <w:t>Implement phase-aware rules and frontend missing-document guidance.</w:t>
            </w:r>
          </w:p>
        </w:tc>
      </w:tr>
      <w:tr>
        <w:trPr>
          <w:cantSplit/>
        </w:trPr>
        <w:tc>
          <w:tcPr>
            <w:tcW w:type="dxa" w:w="2232"/>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Track B</w:t>
            </w:r>
          </w:p>
        </w:tc>
        <w:tc>
          <w:tcPr>
            <w:tcW w:type="dxa" w:w="2304"/>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Partially</w:t>
            </w:r>
          </w:p>
        </w:tc>
        <w:tc>
          <w:tcPr>
            <w:tcW w:type="dxa" w:w="3528"/>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Confirm express vs standard approval route</w:t>
            </w:r>
          </w:p>
        </w:tc>
        <w:tc>
          <w:tcPr>
            <w:tcW w:type="dxa" w:w="3816"/>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Configure final route and regression tests.</w:t>
            </w:r>
          </w:p>
        </w:tc>
      </w:tr>
      <w:tr>
        <w:trPr>
          <w:cantSplit/>
        </w:trPr>
        <w:tc>
          <w:tcPr>
            <w:tcW w:type="dxa" w:w="2232"/>
            <w:tcMar>
              <w:top w:w="70" w:type="dxa"/>
              <w:start w:w="80" w:type="dxa"/>
              <w:bottom w:w="70" w:type="dxa"/>
              <w:end w:w="80" w:type="dxa"/>
            </w:tcMar>
            <w:vAlign w:val="center"/>
          </w:tcPr>
          <w:p>
            <w:pPr>
              <w:spacing w:before="0" w:after="0" w:line="240" w:lineRule="auto"/>
              <w:jc w:val="left"/>
            </w:pPr>
            <w:r>
              <w:rPr>
                <w:rFonts w:ascii="Aptos" w:hAnsi="Aptos"/>
                <w:color w:val="172033"/>
                <w:sz w:val="15"/>
              </w:rPr>
              <w:t>SUNAT exchange rate</w:t>
            </w:r>
          </w:p>
        </w:tc>
        <w:tc>
          <w:tcPr>
            <w:tcW w:type="dxa" w:w="2304"/>
            <w:tcMar>
              <w:top w:w="70" w:type="dxa"/>
              <w:start w:w="80" w:type="dxa"/>
              <w:bottom w:w="70" w:type="dxa"/>
              <w:end w:w="80" w:type="dxa"/>
            </w:tcMar>
            <w:vAlign w:val="center"/>
          </w:tcPr>
          <w:p>
            <w:pPr>
              <w:spacing w:before="0" w:after="0" w:line="240" w:lineRule="auto"/>
              <w:jc w:val="left"/>
            </w:pPr>
            <w:r>
              <w:rPr>
                <w:rFonts w:ascii="Aptos" w:hAnsi="Aptos"/>
                <w:color w:val="172033"/>
                <w:sz w:val="15"/>
              </w:rPr>
              <w:t>Yes</w:t>
            </w:r>
          </w:p>
        </w:tc>
        <w:tc>
          <w:tcPr>
            <w:tcW w:type="dxa" w:w="3528"/>
            <w:tcMar>
              <w:top w:w="70" w:type="dxa"/>
              <w:start w:w="80" w:type="dxa"/>
              <w:bottom w:w="70" w:type="dxa"/>
              <w:end w:w="80" w:type="dxa"/>
            </w:tcMar>
            <w:vAlign w:val="center"/>
          </w:tcPr>
          <w:p>
            <w:pPr>
              <w:spacing w:before="0" w:after="0" w:line="240" w:lineRule="auto"/>
              <w:jc w:val="left"/>
            </w:pPr>
            <w:r>
              <w:rPr>
                <w:rFonts w:ascii="Aptos" w:hAnsi="Aptos"/>
                <w:color w:val="172033"/>
                <w:sz w:val="15"/>
              </w:rPr>
              <w:t>Confirm rate date/fallback policy</w:t>
            </w:r>
          </w:p>
        </w:tc>
        <w:tc>
          <w:tcPr>
            <w:tcW w:type="dxa" w:w="3816"/>
            <w:tcMar>
              <w:top w:w="70" w:type="dxa"/>
              <w:start w:w="80" w:type="dxa"/>
              <w:bottom w:w="70" w:type="dxa"/>
              <w:end w:w="80" w:type="dxa"/>
            </w:tcMar>
            <w:vAlign w:val="center"/>
          </w:tcPr>
          <w:p>
            <w:pPr>
              <w:spacing w:before="0" w:after="0" w:line="240" w:lineRule="auto"/>
              <w:jc w:val="left"/>
            </w:pPr>
            <w:r>
              <w:rPr>
                <w:rFonts w:ascii="Aptos" w:hAnsi="Aptos"/>
                <w:color w:val="172033"/>
                <w:sz w:val="15"/>
              </w:rPr>
              <w:t>Switch authoritative provider and persist metadata.</w:t>
            </w:r>
          </w:p>
        </w:tc>
      </w:tr>
      <w:tr>
        <w:trPr>
          <w:cantSplit/>
        </w:trPr>
        <w:tc>
          <w:tcPr>
            <w:tcW w:type="dxa" w:w="2232"/>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Bank TXT</w:t>
            </w:r>
          </w:p>
        </w:tc>
        <w:tc>
          <w:tcPr>
            <w:tcW w:type="dxa" w:w="2304"/>
            <w:tcMar>
              <w:top w:w="70" w:type="dxa"/>
              <w:start w:w="80" w:type="dxa"/>
              <w:bottom w:w="70" w:type="dxa"/>
              <w:end w:w="80" w:type="dxa"/>
            </w:tcMar>
            <w:vAlign w:val="center"/>
            <w:shd w:fill="FAFCFE"/>
          </w:tcPr>
          <w:p>
            <w:pPr>
              <w:spacing w:before="0" w:after="0" w:line="240" w:lineRule="auto"/>
            </w:pPr>
            <w:r>
              <w:rPr>
                <w:rFonts w:ascii="Aptos" w:hAnsi="Aptos"/>
                <w:sz w:val="15"/>
              </w:rPr>
            </w:r>
            <w:r>
              <w:rPr>
                <w:rFonts w:ascii="Aptos" w:hAnsi="Aptos"/>
                <w:sz w:val="15"/>
              </w:rPr>
              <w:t>BBVA is the only required Treasury source/payment bank. Its implementation can proceed; production certification still requires confirmation.</w:t>
            </w:r>
          </w:p>
        </w:tc>
        <w:tc>
          <w:tcPr>
            <w:tcW w:type="dxa" w:w="3528"/>
            <w:tcMar>
              <w:top w:w="70" w:type="dxa"/>
              <w:start w:w="80" w:type="dxa"/>
              <w:bottom w:w="70" w:type="dxa"/>
              <w:end w:w="80" w:type="dxa"/>
            </w:tcMar>
            <w:vAlign w:val="center"/>
            <w:shd w:fill="FAFCFE"/>
          </w:tcPr>
          <w:p>
            <w:pPr>
              <w:spacing w:before="0" w:after="0" w:line="240" w:lineRule="auto"/>
            </w:pPr>
            <w:r>
              <w:rPr>
                <w:rFonts w:ascii="Aptos" w:hAnsi="Aptos"/>
                <w:sz w:val="15"/>
              </w:rPr>
            </w:r>
            <w:r>
              <w:rPr>
                <w:rFonts w:ascii="Aptos" w:hAnsi="Aptos"/>
                <w:sz w:val="15"/>
              </w:rPr>
              <w:t>BBVA: confirm sample authority + field dictionary/semantics + encoding/naming/newline rules and perform upload acceptance. Confirm whether BBVA may pay beneficiaries at other banks through CCI. No source-bank formats are required for BCP, Interbank or Scotiabank.</w:t>
            </w:r>
          </w:p>
        </w:tc>
        <w:tc>
          <w:tcPr>
            <w:tcW w:type="dxa" w:w="3816"/>
            <w:tcMar>
              <w:top w:w="70" w:type="dxa"/>
              <w:start w:w="80" w:type="dxa"/>
              <w:bottom w:w="70" w:type="dxa"/>
              <w:end w:w="80" w:type="dxa"/>
            </w:tcMar>
            <w:vAlign w:val="center"/>
            <w:shd w:fill="FAFCFE"/>
          </w:tcPr>
          <w:p>
            <w:pPr>
              <w:spacing w:before="0" w:after="0" w:line="240" w:lineRule="auto"/>
            </w:pPr>
            <w:r>
              <w:rPr>
                <w:rFonts w:ascii="Aptos" w:hAnsi="Aptos"/>
                <w:sz w:val="15"/>
              </w:rPr>
            </w:r>
            <w:r>
              <w:rPr>
                <w:rFonts w:ascii="Aptos" w:hAnsi="Aptos"/>
                <w:sz w:val="15"/>
              </w:rPr>
              <w:t>Build a dedicated BBVA fixed-width adapter and golden-file tests; keep the certification flag controlled. Remove/hide non-BBVA source-bank choices from Treasury production screens and prevent non-BBVA bank-file generation at backend level.</w:t>
            </w:r>
          </w:p>
        </w:tc>
      </w:tr>
      <w:tr>
        <w:trPr>
          <w:cantSplit/>
        </w:trPr>
        <w:tc>
          <w:tcPr>
            <w:tcW w:type="dxa" w:w="2232"/>
            <w:tcMar>
              <w:top w:w="70" w:type="dxa"/>
              <w:start w:w="80" w:type="dxa"/>
              <w:bottom w:w="70" w:type="dxa"/>
              <w:end w:w="80" w:type="dxa"/>
            </w:tcMar>
            <w:vAlign w:val="center"/>
          </w:tcPr>
          <w:p>
            <w:pPr>
              <w:spacing w:before="0" w:after="0" w:line="240" w:lineRule="auto"/>
              <w:jc w:val="left"/>
            </w:pPr>
            <w:r>
              <w:rPr>
                <w:rFonts w:ascii="Aptos" w:hAnsi="Aptos"/>
                <w:color w:val="172033"/>
                <w:sz w:val="15"/>
              </w:rPr>
              <w:t>Budget exception</w:t>
            </w:r>
          </w:p>
        </w:tc>
        <w:tc>
          <w:tcPr>
            <w:tcW w:type="dxa" w:w="2304"/>
            <w:tcMar>
              <w:top w:w="70" w:type="dxa"/>
              <w:start w:w="80" w:type="dxa"/>
              <w:bottom w:w="70" w:type="dxa"/>
              <w:end w:w="80" w:type="dxa"/>
            </w:tcMar>
            <w:vAlign w:val="center"/>
          </w:tcPr>
          <w:p>
            <w:pPr>
              <w:spacing w:before="0" w:after="0" w:line="240" w:lineRule="auto"/>
              <w:jc w:val="left"/>
            </w:pPr>
            <w:r>
              <w:rPr>
                <w:rFonts w:ascii="Aptos" w:hAnsi="Aptos"/>
                <w:color w:val="172033"/>
                <w:sz w:val="15"/>
              </w:rPr>
              <w:t>Partially</w:t>
            </w:r>
          </w:p>
        </w:tc>
        <w:tc>
          <w:tcPr>
            <w:tcW w:type="dxa" w:w="3528"/>
            <w:tcMar>
              <w:top w:w="70" w:type="dxa"/>
              <w:start w:w="80" w:type="dxa"/>
              <w:bottom w:w="70" w:type="dxa"/>
              <w:end w:w="80" w:type="dxa"/>
            </w:tcMar>
            <w:vAlign w:val="center"/>
          </w:tcPr>
          <w:p>
            <w:pPr>
              <w:spacing w:before="0" w:after="0" w:line="240" w:lineRule="auto"/>
              <w:jc w:val="left"/>
            </w:pPr>
            <w:r>
              <w:rPr>
                <w:rFonts w:ascii="Aptos" w:hAnsi="Aptos"/>
                <w:color w:val="172033"/>
                <w:sz w:val="15"/>
              </w:rPr>
              <w:t>Confirm final approving authority/rules</w:t>
            </w:r>
          </w:p>
        </w:tc>
        <w:tc>
          <w:tcPr>
            <w:tcW w:type="dxa" w:w="3816"/>
            <w:tcMar>
              <w:top w:w="70" w:type="dxa"/>
              <w:start w:w="80" w:type="dxa"/>
              <w:bottom w:w="70" w:type="dxa"/>
              <w:end w:w="80" w:type="dxa"/>
            </w:tcMar>
            <w:vAlign w:val="center"/>
          </w:tcPr>
          <w:p>
            <w:pPr>
              <w:spacing w:before="0" w:after="0" w:line="240" w:lineRule="auto"/>
              <w:jc w:val="left"/>
            </w:pPr>
            <w:r>
              <w:rPr>
                <w:rFonts w:ascii="Aptos" w:hAnsi="Aptos"/>
                <w:color w:val="172033"/>
                <w:sz w:val="15"/>
              </w:rPr>
              <w:t>Separate request/preparation from management decision.</w:t>
            </w:r>
          </w:p>
        </w:tc>
      </w:tr>
      <w:tr>
        <w:trPr>
          <w:cantSplit/>
        </w:trPr>
        <w:tc>
          <w:tcPr>
            <w:tcW w:type="dxa" w:w="2232"/>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SIRE</w:t>
            </w:r>
          </w:p>
        </w:tc>
        <w:tc>
          <w:tcPr>
            <w:tcW w:type="dxa" w:w="2304"/>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Yes for voucher-level export</w:t>
            </w:r>
          </w:p>
        </w:tc>
        <w:tc>
          <w:tcPr>
            <w:tcW w:type="dxa" w:w="3528"/>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Confirm export-only vs direct submission target</w:t>
            </w:r>
          </w:p>
        </w:tc>
        <w:tc>
          <w:tcPr>
            <w:tcW w:type="dxa" w:w="3816"/>
            <w:tcMar>
              <w:top w:w="70" w:type="dxa"/>
              <w:start w:w="80" w:type="dxa"/>
              <w:bottom w:w="70" w:type="dxa"/>
              <w:end w:w="80" w:type="dxa"/>
            </w:tcMar>
            <w:vAlign w:val="center"/>
            <w:shd w:fill="FAFCFE"/>
          </w:tcPr>
          <w:p>
            <w:pPr>
              <w:spacing w:before="0" w:after="0" w:line="240" w:lineRule="auto"/>
              <w:jc w:val="left"/>
            </w:pPr>
            <w:r>
              <w:rPr>
                <w:rFonts w:ascii="Aptos" w:hAnsi="Aptos"/>
                <w:color w:val="172033"/>
                <w:sz w:val="15"/>
              </w:rPr>
              <w:t>Refactor rows to voucher level; keep provider abstraction.</w:t>
            </w:r>
          </w:p>
        </w:tc>
      </w:tr>
      <w:tr>
        <w:trPr>
          <w:cantSplit/>
        </w:trPr>
        <w:tc>
          <w:tcPr>
            <w:tcW w:type="dxa" w:w="2232"/>
            <w:tcMar>
              <w:top w:w="70" w:type="dxa"/>
              <w:start w:w="80" w:type="dxa"/>
              <w:bottom w:w="70" w:type="dxa"/>
              <w:end w:w="80" w:type="dxa"/>
            </w:tcMar>
            <w:vAlign w:val="center"/>
          </w:tcPr>
          <w:p>
            <w:pPr>
              <w:spacing w:before="0" w:after="0" w:line="240" w:lineRule="auto"/>
              <w:jc w:val="left"/>
            </w:pPr>
            <w:r>
              <w:rPr>
                <w:rFonts w:ascii="Aptos" w:hAnsi="Aptos"/>
                <w:color w:val="172033"/>
                <w:sz w:val="15"/>
              </w:rPr>
              <w:t>SLA alerts</w:t>
            </w:r>
          </w:p>
        </w:tc>
        <w:tc>
          <w:tcPr>
            <w:tcW w:type="dxa" w:w="2304"/>
            <w:tcMar>
              <w:top w:w="70" w:type="dxa"/>
              <w:start w:w="80" w:type="dxa"/>
              <w:bottom w:w="70" w:type="dxa"/>
              <w:end w:w="80" w:type="dxa"/>
            </w:tcMar>
            <w:vAlign w:val="center"/>
          </w:tcPr>
          <w:p>
            <w:pPr>
              <w:spacing w:before="0" w:after="0" w:line="240" w:lineRule="auto"/>
              <w:jc w:val="left"/>
            </w:pPr>
            <w:r>
              <w:rPr>
                <w:rFonts w:ascii="Aptos" w:hAnsi="Aptos"/>
                <w:color w:val="172033"/>
                <w:sz w:val="15"/>
              </w:rPr>
              <w:t>Yes</w:t>
            </w:r>
          </w:p>
        </w:tc>
        <w:tc>
          <w:tcPr>
            <w:tcW w:type="dxa" w:w="3528"/>
            <w:tcMar>
              <w:top w:w="70" w:type="dxa"/>
              <w:start w:w="80" w:type="dxa"/>
              <w:bottom w:w="70" w:type="dxa"/>
              <w:end w:w="80" w:type="dxa"/>
            </w:tcMar>
            <w:vAlign w:val="center"/>
          </w:tcPr>
          <w:p>
            <w:pPr>
              <w:spacing w:before="0" w:after="0" w:line="240" w:lineRule="auto"/>
              <w:jc w:val="left"/>
            </w:pPr>
            <w:r>
              <w:rPr>
                <w:rFonts w:ascii="Aptos" w:hAnsi="Aptos"/>
                <w:color w:val="172033"/>
                <w:sz w:val="15"/>
              </w:rPr>
              <w:t>Confirm recipients/thresholds/channels</w:t>
            </w:r>
          </w:p>
        </w:tc>
        <w:tc>
          <w:tcPr>
            <w:tcW w:type="dxa" w:w="3816"/>
            <w:tcMar>
              <w:top w:w="70" w:type="dxa"/>
              <w:start w:w="80" w:type="dxa"/>
              <w:bottom w:w="70" w:type="dxa"/>
              <w:end w:w="80" w:type="dxa"/>
            </w:tcMar>
            <w:vAlign w:val="center"/>
          </w:tcPr>
          <w:p>
            <w:pPr>
              <w:spacing w:before="0" w:after="0" w:line="240" w:lineRule="auto"/>
              <w:jc w:val="left"/>
            </w:pPr>
            <w:r>
              <w:rPr>
                <w:rFonts w:ascii="Aptos" w:hAnsi="Aptos"/>
                <w:color w:val="172033"/>
                <w:sz w:val="15"/>
              </w:rPr>
              <w:t>Add recurring idempotent alert/escalation job.</w:t>
            </w:r>
          </w:p>
        </w:tc>
      </w:tr>
      <w:tr>
        <w:trPr>
          <w:cantSplit/>
        </w:trPr>
        <w:tc>
          <w:tcPr>
            <w:tcW w:type="dxa" w:w="2232"/>
            <w:tcMar>
              <w:top w:w="70" w:type="dxa"/>
              <w:start w:w="80" w:type="dxa"/>
              <w:bottom w:w="70" w:type="dxa"/>
              <w:end w:w="80" w:type="dxa"/>
            </w:tcMar>
            <w:vAlign w:val="center"/>
            <w:shd w:fill="FAFCFE"/>
          </w:tcPr>
          <w:p>
            <w:pPr>
              <w:spacing w:before="0" w:after="0" w:line="240" w:lineRule="auto"/>
            </w:pPr>
            <w:r>
              <w:rPr>
                <w:rFonts w:ascii="Aptos" w:hAnsi="Aptos"/>
                <w:sz w:val="15"/>
              </w:rPr>
              <w:t>Status model / A1-A2 aggregation</w:t>
            </w:r>
          </w:p>
        </w:tc>
        <w:tc>
          <w:tcPr>
            <w:tcW w:type="dxa" w:w="2304"/>
            <w:tcMar>
              <w:top w:w="70" w:type="dxa"/>
              <w:start w:w="80" w:type="dxa"/>
              <w:bottom w:w="70" w:type="dxa"/>
              <w:end w:w="80" w:type="dxa"/>
            </w:tcMar>
            <w:vAlign w:val="center"/>
            <w:shd w:fill="FAFCFE"/>
          </w:tcPr>
          <w:p>
            <w:pPr>
              <w:spacing w:before="0" w:after="0" w:line="240" w:lineRule="auto"/>
            </w:pPr>
            <w:r>
              <w:rPr>
                <w:rFonts w:ascii="Aptos" w:hAnsi="Aptos"/>
                <w:sz w:val="15"/>
              </w:rPr>
              <w:t>Yes - recommended model is defined</w:t>
            </w:r>
          </w:p>
        </w:tc>
        <w:tc>
          <w:tcPr>
            <w:tcW w:type="dxa" w:w="3528"/>
            <w:tcMar>
              <w:top w:w="70" w:type="dxa"/>
              <w:start w:w="80" w:type="dxa"/>
              <w:bottom w:w="70" w:type="dxa"/>
              <w:end w:w="80" w:type="dxa"/>
            </w:tcMar>
            <w:vAlign w:val="center"/>
            <w:shd w:fill="FAFCFE"/>
          </w:tcPr>
          <w:p>
            <w:pPr>
              <w:spacing w:before="0" w:after="0" w:line="240" w:lineRule="auto"/>
            </w:pPr>
            <w:r>
              <w:rPr>
                <w:rFonts w:ascii="Aptos" w:hAnsi="Aptos"/>
                <w:sz w:val="15"/>
              </w:rPr>
              <w:t>UMA only needs to confirm if Finance requires an exception to the “all applicable children reach the milestone” rule or special treatment for retained/cancelled balances.</w:t>
            </w:r>
          </w:p>
        </w:tc>
        <w:tc>
          <w:tcPr>
            <w:tcW w:type="dxa" w:w="3816"/>
            <w:tcMar>
              <w:top w:w="70" w:type="dxa"/>
              <w:start w:w="80" w:type="dxa"/>
              <w:bottom w:w="70" w:type="dxa"/>
              <w:end w:w="80" w:type="dxa"/>
            </w:tcMar>
            <w:vAlign w:val="center"/>
            <w:shd w:fill="FAFCFE"/>
          </w:tcPr>
          <w:p>
            <w:pPr>
              <w:spacing w:before="0" w:after="0" w:line="240" w:lineRule="auto"/>
            </w:pPr>
            <w:r>
              <w:rPr>
                <w:rFonts w:ascii="Aptos" w:hAnsi="Aptos"/>
                <w:sz w:val="15"/>
              </w:rPr>
              <w:t>Implement canonical backend transitions, derived counts/amounts for partial progress, and separate Track C rendition status; protect with transition/regression tests.</w:t>
            </w:r>
          </w:p>
        </w:tc>
      </w:tr>
      <w:tr>
        <w:trPr>
          <w:cantSplit/>
        </w:trPr>
        <w:tc>
          <w:tcPr>
            <w:tcW w:type="dxa" w:w="2232"/>
            <w:tcMar>
              <w:top w:w="70" w:type="dxa"/>
              <w:start w:w="80" w:type="dxa"/>
              <w:bottom w:w="70" w:type="dxa"/>
              <w:end w:w="80" w:type="dxa"/>
            </w:tcMar>
            <w:vAlign w:val="center"/>
          </w:tcPr>
          <w:p>
            <w:pPr>
              <w:spacing w:before="0" w:after="0" w:line="240" w:lineRule="auto"/>
              <w:jc w:val="left"/>
            </w:pPr>
            <w:r>
              <w:rPr>
                <w:rFonts w:ascii="Aptos" w:hAnsi="Aptos"/>
                <w:color w:val="172033"/>
                <w:sz w:val="15"/>
              </w:rPr>
              <w:t>Payment posting timing</w:t>
            </w:r>
          </w:p>
        </w:tc>
        <w:tc>
          <w:tcPr>
            <w:tcW w:type="dxa" w:w="2304"/>
            <w:tcMar>
              <w:top w:w="70" w:type="dxa"/>
              <w:start w:w="80" w:type="dxa"/>
              <w:bottom w:w="70" w:type="dxa"/>
              <w:end w:w="80" w:type="dxa"/>
            </w:tcMar>
            <w:vAlign w:val="center"/>
          </w:tcPr>
          <w:p>
            <w:pPr>
              <w:spacing w:before="0" w:after="0" w:line="240" w:lineRule="auto"/>
              <w:jc w:val="left"/>
            </w:pPr>
            <w:r>
              <w:rPr>
                <w:rFonts w:ascii="Aptos" w:hAnsi="Aptos"/>
                <w:color w:val="172033"/>
                <w:sz w:val="15"/>
              </w:rPr>
              <w:t>Code already follows recommended behavior</w:t>
            </w:r>
          </w:p>
        </w:tc>
        <w:tc>
          <w:tcPr>
            <w:tcW w:type="dxa" w:w="3528"/>
            <w:tcMar>
              <w:top w:w="70" w:type="dxa"/>
              <w:start w:w="80" w:type="dxa"/>
              <w:bottom w:w="70" w:type="dxa"/>
              <w:end w:w="80" w:type="dxa"/>
            </w:tcMar>
            <w:vAlign w:val="center"/>
          </w:tcPr>
          <w:p>
            <w:pPr>
              <w:spacing w:before="0" w:after="0" w:line="240" w:lineRule="auto"/>
              <w:jc w:val="left"/>
            </w:pPr>
            <w:r>
              <w:rPr>
                <w:rFonts w:ascii="Aptos" w:hAnsi="Aptos"/>
                <w:color w:val="172033"/>
                <w:sz w:val="15"/>
              </w:rPr>
              <w:t>Accounting sign-off</w:t>
            </w:r>
          </w:p>
        </w:tc>
        <w:tc>
          <w:tcPr>
            <w:tcW w:type="dxa" w:w="3816"/>
            <w:tcMar>
              <w:top w:w="70" w:type="dxa"/>
              <w:start w:w="80" w:type="dxa"/>
              <w:bottom w:w="70" w:type="dxa"/>
              <w:end w:w="80" w:type="dxa"/>
            </w:tcMar>
            <w:vAlign w:val="center"/>
          </w:tcPr>
          <w:p>
            <w:pPr>
              <w:spacing w:before="0" w:after="0" w:line="240" w:lineRule="auto"/>
              <w:jc w:val="left"/>
            </w:pPr>
            <w:r>
              <w:rPr>
                <w:rFonts w:ascii="Aptos" w:hAnsi="Aptos"/>
                <w:color w:val="172033"/>
                <w:sz w:val="15"/>
              </w:rPr>
              <w:t>Document and lock with tests; change only if Finance rejects the SRS interpretation.</w:t>
            </w:r>
          </w:p>
        </w:tc>
      </w:tr>
      <w:tr>
        <w:trPr>
          <w:cantSplit/>
        </w:trPr>
        <w:tc>
          <w:tcPr>
            <w:tcW w:type="dxa" w:w="2232"/>
            <w:tcMar>
              <w:top w:w="70" w:type="dxa"/>
              <w:start w:w="80" w:type="dxa"/>
              <w:bottom w:w="70" w:type="dxa"/>
              <w:end w:w="80" w:type="dxa"/>
            </w:tcMar>
            <w:vAlign w:val="center"/>
          </w:tcPr>
          <w:p>
            <w:pPr>
              <w:spacing w:before="0" w:after="0" w:line="240" w:lineRule="auto"/>
              <w:jc w:val="left"/>
            </w:pPr>
            <w:pPr>
              <w:jc w:val="left"/>
            </w:pPr>
            <w:r>
              <w:rPr>
                <w:rFonts w:ascii="Aptos" w:hAnsi="Aptos"/>
                <w:color w:val="172033"/>
                <w:sz w:val="15"/>
              </w:rPr>
              <w:t>Cost Center master / user mapping</w:t>
            </w:r>
          </w:p>
        </w:tc>
        <w:tc>
          <w:tcPr>
            <w:tcW w:type="dxa" w:w="2304"/>
            <w:tcMar>
              <w:top w:w="70" w:type="dxa"/>
              <w:start w:w="80" w:type="dxa"/>
              <w:bottom w:w="70" w:type="dxa"/>
              <w:end w:w="80" w:type="dxa"/>
            </w:tcMar>
            <w:vAlign w:val="center"/>
          </w:tcPr>
          <w:p>
            <w:pPr>
              <w:spacing w:before="0" w:after="0" w:line="240" w:lineRule="auto"/>
              <w:jc w:val="left"/>
            </w:pPr>
            <w:pPr>
              <w:jc w:val="left"/>
            </w:pPr>
            <w:r>
              <w:rPr>
                <w:rFonts w:ascii="Aptos" w:hAnsi="Aptos"/>
                <w:color w:val="172033"/>
                <w:sz w:val="15"/>
              </w:rPr>
              <w:t>Partially - import architecture can be prepared now</w:t>
            </w:r>
          </w:p>
        </w:tc>
        <w:tc>
          <w:tcPr>
            <w:tcW w:type="dxa" w:w="3528"/>
            <w:tcMar>
              <w:top w:w="70" w:type="dxa"/>
              <w:start w:w="80" w:type="dxa"/>
              <w:bottom w:w="70" w:type="dxa"/>
              <w:end w:w="80" w:type="dxa"/>
            </w:tcMar>
            <w:vAlign w:val="center"/>
          </w:tcPr>
          <w:p>
            <w:pPr>
              <w:spacing w:before="0" w:after="0" w:line="240" w:lineRule="auto"/>
              <w:jc w:val="left"/>
            </w:pPr>
            <w:pPr>
              <w:jc w:val="left"/>
            </w:pPr>
            <w:r>
              <w:rPr>
                <w:rFonts w:ascii="Aptos" w:hAnsi="Aptos"/>
                <w:color w:val="172033"/>
                <w:sz w:val="15"/>
              </w:rPr>
              <w:t>Confirm workbook authority/effective date; resolve ambiguous hierarchy mappings; decide DNI retention policy</w:t>
            </w:r>
          </w:p>
        </w:tc>
        <w:tc>
          <w:tcPr>
            <w:tcW w:type="dxa" w:w="3816"/>
            <w:tcMar>
              <w:top w:w="70" w:type="dxa"/>
              <w:start w:w="80" w:type="dxa"/>
              <w:bottom w:w="70" w:type="dxa"/>
              <w:end w:w="80" w:type="dxa"/>
            </w:tcMar>
            <w:vAlign w:val="center"/>
          </w:tcPr>
          <w:p>
            <w:pPr>
              <w:spacing w:before="0" w:after="0" w:line="240" w:lineRule="auto"/>
              <w:jc w:val="left"/>
            </w:pPr>
            <w:pPr>
              <w:jc w:val="left"/>
            </w:pPr>
            <w:r>
              <w:rPr>
                <w:rFonts w:ascii="Aptos" w:hAnsi="Aptos"/>
                <w:color w:val="172033"/>
                <w:sz w:val="15"/>
              </w:rPr>
              <w:t>Replace demo CeCos, import canonical CeCos/organizational hierarchy, map user default/authorized CeCos, and add import validation report.</w:t>
            </w:r>
          </w:p>
        </w:tc>
      </w:tr>
      <w:tr>
        <w:tc>
          <w:tcPr>
            <w:tcW w:type="dxa" w:w="2232"/>
            <w:tcMar>
              <w:top w:w="70" w:type="dxa"/>
              <w:start w:w="80" w:type="dxa"/>
              <w:bottom w:w="70" w:type="dxa"/>
              <w:end w:w="80" w:type="dxa"/>
            </w:tcMar>
            <w:vAlign w:val="center"/>
          </w:tcPr>
          <w:p>
            <w:pPr>
              <w:spacing w:before="0" w:after="0" w:line="240" w:lineRule="auto"/>
            </w:pPr>
            <w:r>
              <w:rPr>
                <w:rFonts w:ascii="Aptos" w:hAnsi="Aptos"/>
                <w:sz w:val="15"/>
              </w:rPr>
              <w:t>Manual status override</w:t>
            </w:r>
          </w:p>
        </w:tc>
        <w:tc>
          <w:tcPr>
            <w:tcW w:type="dxa" w:w="2304"/>
            <w:tcMar>
              <w:top w:w="70" w:type="dxa"/>
              <w:start w:w="80" w:type="dxa"/>
              <w:bottom w:w="70" w:type="dxa"/>
              <w:end w:w="80" w:type="dxa"/>
            </w:tcMar>
            <w:vAlign w:val="center"/>
          </w:tcPr>
          <w:p>
            <w:pPr>
              <w:spacing w:before="0" w:after="0" w:line="240" w:lineRule="auto"/>
            </w:pPr>
            <w:r>
              <w:rPr>
                <w:rFonts w:ascii="Aptos" w:hAnsi="Aptos"/>
                <w:sz w:val="15"/>
              </w:rPr>
              <w:t>Yes - recommended policy is defined</w:t>
            </w:r>
          </w:p>
        </w:tc>
        <w:tc>
          <w:tcPr>
            <w:tcW w:type="dxa" w:w="3528"/>
            <w:tcMar>
              <w:top w:w="70" w:type="dxa"/>
              <w:start w:w="80" w:type="dxa"/>
              <w:bottom w:w="70" w:type="dxa"/>
              <w:end w:w="80" w:type="dxa"/>
            </w:tcMar>
            <w:vAlign w:val="center"/>
          </w:tcPr>
          <w:p>
            <w:pPr>
              <w:spacing w:before="0" w:after="0" w:line="240" w:lineRule="auto"/>
            </w:pPr>
            <w:r>
              <w:rPr>
                <w:rFonts w:ascii="Aptos" w:hAnsi="Aptos"/>
                <w:sz w:val="15"/>
              </w:rPr>
              <w:t>Confirm only whether UMA needs an emergency administrative recovery mechanism.</w:t>
            </w:r>
          </w:p>
        </w:tc>
        <w:tc>
          <w:tcPr>
            <w:tcW w:type="dxa" w:w="3816"/>
            <w:tcMar>
              <w:top w:w="70" w:type="dxa"/>
              <w:start w:w="80" w:type="dxa"/>
              <w:bottom w:w="70" w:type="dxa"/>
              <w:end w:w="80" w:type="dxa"/>
            </w:tcMar>
            <w:vAlign w:val="center"/>
          </w:tcPr>
          <w:p>
            <w:pPr>
              <w:spacing w:before="0" w:after="0" w:line="240" w:lineRule="auto"/>
            </w:pPr>
            <w:r>
              <w:rPr>
                <w:rFonts w:ascii="Aptos" w:hAnsi="Aptos"/>
                <w:sz w:val="15"/>
              </w:rPr>
              <w:t>Default: no normal manual override. If recovery is required, use a dedicated audited repair action/permission with mandatory reason/evidence; never bypass PAGADO or CONCILIADO evidence.</w:t>
            </w:r>
          </w:p>
        </w:tc>
      </w:tr>
    </w:tbl>
    <w:p>
      <w:pPr>
        <w:spacing w:after="20"/>
      </w:pPr>
    </w:p>
    <w:p>
      <w:pPr>
        <w:pStyle w:val="Heading1"/>
        <w:keepNext/>
        <w:spacing w:before="240" w:after="120"/>
      </w:pPr>
      <w:r>
        <w:rPr>
          <w:rFonts w:ascii="Arial" w:hAnsi="Arial"/>
          <w:b/>
          <w:color w:val="0A3D62"/>
          <w:sz w:val="30"/>
        </w:rPr>
        <w:t>11. Final Conclusion</w:t>
      </w:r>
    </w:p>
    <w:p>
      <w:pPr>
        <w:spacing w:before="0" w:after="100" w:line="259" w:lineRule="auto"/>
      </w:pPr>
      <w:r>
        <w:rPr>
          <w:rFonts w:ascii="Aptos" w:hAnsi="Aptos"/>
          <w:sz w:val="19"/>
        </w:rPr>
        <w:t>The current UMA financial system already contains the essential technical foundation required by the FPD and SRS. The next phase should not be framed as “building the missing ERP”; it should be framed as formalizing the business rules, replacing demo/external placeholders, and aligning a small number of workflow controls with the official Finance policy. The recommended v1.4 status model should be treated as the implementation standard: canonical request states are backend-controlled, downstream financial states are evidence-dependent, partial multi-invoice progress is derived, and Track C rendition status is maintained separately from payment truth.</w:t>
      </w:r>
    </w:p>
    <w:tbl>
      <w:tblPr>
        <w:tblW w:type="auto" w:w="0"/>
        <w:jc w:val="center"/>
        <w:tblLook w:firstColumn="1" w:firstRow="1" w:lastColumn="0" w:lastRow="0" w:noHBand="0" w:noVBand="1" w:val="04A0"/>
      </w:tblPr>
      <w:tblGrid>
        <w:gridCol w:w="9994"/>
      </w:tblGrid>
      <w:tr>
        <w:tc>
          <w:tcPr>
            <w:tcW w:type="dxa" w:w="9994"/>
            <w:shd w:fill="EAF7EE"/>
            <w:tcBorders>
              <w:top w:sz="4" w:val="single" w:color="EAF7EE"/>
              <w:left w:sz="22" w:val="single" w:color="15803D"/>
              <w:bottom w:sz="4" w:val="single" w:color="EAF7EE"/>
              <w:right w:sz="4" w:val="single" w:color="EAF7EE"/>
            </w:tcBorders>
            <w:tcMar>
              <w:top w:w="140" w:type="dxa"/>
              <w:start w:w="180" w:type="dxa"/>
              <w:bottom w:w="140" w:type="dxa"/>
              <w:end w:w="180" w:type="dxa"/>
            </w:tcMar>
          </w:tcPr>
          <w:p>
            <w:r>
              <w:t>Recommended next step</w:t>
              <w:br/>
              <w:t>Resolve the remaining business/external questions, including Q-01 through Q-21 as applicable with Finance/Accounting/Treasury/Budget. Once those decisions are confirmed, implement P0 items first, run real historical cases end-to-end, then complete P1 governance/reporting improvements. This preserves the substantial existing codebase while making the production behavior auditable and document-compliant.</w:t>
            </w:r>
          </w:p>
        </w:tc>
      </w:tr>
    </w:tbl>
    <w:p>
      <w:pPr>
        <w:spacing w:after="20"/>
      </w:pPr>
    </w:p>
    <w:p>
      <w:pPr>
        <w:pStyle w:val="Heading1"/>
        <w:keepNext/>
        <w:spacing w:before="240" w:after="120"/>
      </w:pPr>
      <w:r>
        <w:rPr>
          <w:rFonts w:ascii="Arial" w:hAnsi="Arial"/>
          <w:b/>
          <w:color w:val="0A3D62"/>
          <w:sz w:val="30"/>
        </w:rPr>
        <w:t>Appendix A - Key Code Areas Referenced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8"/>
              </w:rPr>
              <w:t>Area</w:t>
            </w:r>
          </w:p>
        </w:tc>
        <w:tc>
          <w:tcPr>
            <w:tcW w:type="dxa" w:w="6263"/>
            <w:shd w:fill="0A3D62"/>
            <w:tcMar>
              <w:top w:w="100" w:type="dxa"/>
              <w:start w:w="95" w:type="dxa"/>
              <w:bottom w:w="100" w:type="dxa"/>
              <w:end w:w="95" w:type="dxa"/>
            </w:tcMar>
            <w:vAlign w:val="center"/>
          </w:tcPr>
          <w:p>
            <w:pPr>
              <w:spacing w:before="0" w:after="0" w:line="240" w:lineRule="auto"/>
              <w:jc w:val="center"/>
            </w:pPr>
            <w:r>
              <w:rPr>
                <w:rFonts w:ascii="Arial" w:hAnsi="Arial"/>
                <w:b/>
                <w:color w:val="FFFFFF"/>
                <w:sz w:val="18"/>
              </w:rPr>
              <w:t>Primary code reference</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Document rules</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backend/src/services/documentRuleService.js</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Approval routing / SLA</w:t>
            </w:r>
          </w:p>
        </w:tc>
        <w:tc>
          <w:tcPr>
            <w:tcW w:type="dxa" w:w="6263"/>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backend/src/services/approvalRuleService.js</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Workflow gates</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backend/src/services/workflowService.js</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Request tracks</w:t>
            </w:r>
          </w:p>
        </w:tc>
        <w:tc>
          <w:tcPr>
            <w:tcW w:type="dxa" w:w="6263"/>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backend/src/services/requestService.js</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Direct payment / Track B</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backend/src/services/directPaymentService.js</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Batch invoices / Track A2</w:t>
            </w:r>
          </w:p>
        </w:tc>
        <w:tc>
          <w:tcPr>
            <w:tcW w:type="dxa" w:w="6263"/>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backend/src/services/batchInvoiceService.js</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Accounting/CXP</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backend/src/services/accountingService.js</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Treasury/payment</w:t>
            </w:r>
          </w:p>
        </w:tc>
        <w:tc>
          <w:tcPr>
            <w:tcW w:type="dxa" w:w="6263"/>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backend/src/services/treasuryService.js</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Bank adapters/configuration</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backend/src/integrations/banks/*; backend/src/models/BankFormatConfiguration.js</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Exchange rates</w:t>
            </w:r>
          </w:p>
        </w:tc>
        <w:tc>
          <w:tcPr>
            <w:tcW w:type="dxa" w:w="6263"/>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backend/src/controllers/masterDataController.js; backend/src/services/exchangeRateProvider.js; backend/src/services/sunatService.js</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SIRE/RCE</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backend/src/services/sireService.js; backend/src/integrations/sire/SireProvider.js</w:t>
            </w:r>
          </w:p>
        </w:tc>
      </w:tr>
      <w:tr>
        <w:tc>
          <w:tcPr>
            <w:tcW w:type="dxa" w:w="2880"/>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Budget routes</w:t>
            </w:r>
          </w:p>
        </w:tc>
        <w:tc>
          <w:tcPr>
            <w:tcW w:type="dxa" w:w="6263"/>
            <w:tcMar>
              <w:top w:w="95" w:type="dxa"/>
              <w:start w:w="100" w:type="dxa"/>
              <w:bottom w:w="95" w:type="dxa"/>
              <w:end w:w="100" w:type="dxa"/>
            </w:tcMar>
            <w:vAlign w:val="center"/>
            <w:shd w:fill="FAFCFE"/>
          </w:tcPr>
          <w:p>
            <w:pPr>
              <w:spacing w:before="0" w:after="0" w:line="247" w:lineRule="auto"/>
              <w:jc w:val="left"/>
            </w:pPr>
            <w:r>
              <w:rPr>
                <w:rFonts w:ascii="Arial" w:hAnsi="Arial"/>
                <w:color w:val="172033"/>
                <w:sz w:val="18"/>
              </w:rPr>
              <w:t>backend/src/routes/budgetRoutes.js</w:t>
            </w:r>
          </w:p>
        </w:tc>
      </w:tr>
      <w:tr>
        <w:tc>
          <w:tcPr>
            <w:tcW w:type="dxa" w:w="2880"/>
            <w:tcMar>
              <w:top w:w="95" w:type="dxa"/>
              <w:start w:w="100" w:type="dxa"/>
              <w:bottom w:w="95" w:type="dxa"/>
              <w:end w:w="100" w:type="dxa"/>
            </w:tcMar>
            <w:vAlign w:val="center"/>
          </w:tcPr>
          <w:p>
            <w:pPr>
              <w:spacing w:before="0" w:after="0" w:line="247" w:lineRule="auto"/>
              <w:jc w:val="left"/>
            </w:pPr>
            <w:r>
              <w:rPr>
                <w:rFonts w:ascii="Arial" w:hAnsi="Arial"/>
                <w:color w:val="172033"/>
                <w:sz w:val="18"/>
              </w:rPr>
              <w:t>Frontend routing/workspaces</w:t>
            </w:r>
          </w:p>
        </w:tc>
        <w:tc>
          <w:tcPr>
            <w:tcW w:type="dxa" w:w="6263"/>
            <w:tcMar>
              <w:top w:w="95" w:type="dxa"/>
              <w:start w:w="100" w:type="dxa"/>
              <w:bottom w:w="95" w:type="dxa"/>
              <w:end w:w="100" w:type="dxa"/>
            </w:tcMar>
            <w:vAlign w:val="center"/>
          </w:tcPr>
          <w:p>
            <w:pPr>
              <w:spacing w:before="0" w:after="0" w:line="247" w:lineRule="auto"/>
              <w:jc w:val="left"/>
            </w:pPr>
            <w:r>
              <w:rPr>
                <w:rFonts w:ascii="Arial" w:hAnsi="Arial"/>
                <w:color w:val="172033"/>
                <w:sz w:val="18"/>
              </w:rPr>
              <w:t>frontend/src/App.jsx; frontend/src/pages/*</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Cost Center/user assignment</w:t>
            </w:r>
          </w:p>
        </w:tc>
        <w:tc>
          <w:tcPr>
            <w:tcW w:type="dxa" w:w="6263"/>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backend/src/models/CostCenter.js; backend/src/models/User.js; backend/src/controllers/masterDataController.js; backend/src/controllers/userController.js</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BBVA real fixed-width generator</w:t>
            </w:r>
          </w:p>
        </w:tc>
        <w:tc>
          <w:tcPr>
            <w:tcW w:type="dxa" w:w="6263"/>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backend/src/integrations/banks/BbvaBankFileAdapter.js; backend/src/integrations/banks/BankFileAdapter.js; backend/src/models/BankFormatConfiguration.js; backend/src/services/treasuryService.js</w:t>
            </w:r>
          </w:p>
        </w:tc>
      </w:tr>
    </w:tbl>
    <w:p>
      <w:pPr>
        <w:spacing w:after="20"/>
      </w:pPr>
    </w:p>
    <w:p>
      <w:pPr>
        <w:pStyle w:val="Heading1"/>
        <w:keepNext/>
        <w:spacing w:before="240" w:after="120"/>
      </w:pPr>
      <w:r>
        <w:rPr>
          <w:rFonts w:ascii="Arial" w:hAnsi="Arial"/>
          <w:b/>
          <w:color w:val="0A3D62"/>
          <w:sz w:val="30"/>
        </w:rPr>
        <w:t>Appendix B - Reference Documents</w:t>
      </w:r>
    </w:p>
    <w:p>
      <w:pPr>
        <w:pStyle w:val="ListBullet"/>
        <w:spacing w:before="0" w:after="40" w:line="259" w:lineRule="auto"/>
        <w:ind w:left="317" w:hanging="173"/>
      </w:pPr>
      <w:r>
        <w:rPr>
          <w:rFonts w:ascii="Arial" w:hAnsi="Arial"/>
          <w:color w:val="172033"/>
          <w:sz w:val="20"/>
        </w:rPr>
        <w:t>FPD: “Asunciones del Sistema para el Desarrollo del Módulo” (accounting, SUNAT, currency, period close, supplier and scalability assumptions).</w:t>
      </w:r>
    </w:p>
    <w:p>
      <w:pPr>
        <w:pStyle w:val="ListBullet"/>
        <w:spacing w:before="0" w:after="40" w:line="259" w:lineRule="auto"/>
        <w:ind w:left="317" w:hanging="173"/>
      </w:pPr>
      <w:r>
        <w:rPr>
          <w:rFonts w:ascii="Arial" w:hAnsi="Arial"/>
          <w:color w:val="172033"/>
          <w:sz w:val="20"/>
        </w:rPr>
        <w:t>SRS: “Documento de Especificaciones Funcionales y Técnicas - Sistema Integral de Gestión de CAPEX, OPEX y Cuentas por Pagar”, Version 1.0, August 2026.</w:t>
      </w:r>
    </w:p>
    <w:p>
      <w:pPr>
        <w:pStyle w:val="ListBullet"/>
        <w:spacing w:before="0" w:after="40" w:line="259" w:lineRule="auto"/>
        <w:ind w:left="317" w:hanging="173"/>
      </w:pPr>
      <w:r>
        <w:rPr>
          <w:rFonts w:ascii="Arial" w:hAnsi="Arial"/>
          <w:color w:val="172033"/>
          <w:sz w:val="20"/>
        </w:rPr>
        <w:t>Current frontend and backend codebase supplied for this review.</w:t>
      </w:r>
    </w:p>
    <w:p>
      <w:pPr>
        <w:pStyle w:val="Heading1"/>
      </w:pPr>
      <w:r>
        <w:t>Appendix C - Treasury Cost Center Master Data Review</w:t>
      </w:r>
    </w:p>
    <w:p>
      <w:r>
        <w:rPr>
          <w:b/>
        </w:rPr>
        <w:t xml:space="preserve">Source reviewed: </w:t>
      </w:r>
      <w:r>
        <w:t>Centro de Costo - Tesoreria.xlsx. This workbook is useful for converting the current demo CeCo setup into real UMA organizational master data. It should be treated as an operational source subject to Treasury/Finance confirmation, not as a budget-allocation file.</w:t>
      </w:r>
    </w:p>
    <w:tbl>
      <w:tblPr>
        <w:tblStyle w:val="TableGrid"/>
        <w:tblW w:type="auto" w:w="0"/>
        <w:tblLook w:firstColumn="1" w:firstRow="1" w:lastColumn="0" w:lastRow="0" w:noHBand="0" w:noVBand="1" w:val="04A0"/>
      </w:tblPr>
      <w:tblGrid>
        <w:gridCol w:w="4997"/>
        <w:gridCol w:w="4997"/>
      </w:tblGrid>
      <w:tr>
        <w:tc>
          <w:tcPr>
            <w:tcW w:type="dxa" w:w="2880"/>
            <w:shd w:fill="0A3D62"/>
            <w:tcMar>
              <w:top w:w="100" w:type="dxa"/>
              <w:start w:w="95" w:type="dxa"/>
              <w:bottom w:w="100" w:type="dxa"/>
              <w:end w:w="95" w:type="dxa"/>
            </w:tcMar>
            <w:vAlign w:val="center"/>
          </w:tcPr>
          <w:p>
            <w:pPr>
              <w:spacing w:before="0" w:after="0" w:line="240" w:lineRule="auto"/>
              <w:jc w:val="center"/>
            </w:pPr>
            <w:pPr>
              <w:jc w:val="center"/>
            </w:pPr>
            <w:r>
              <w:rPr>
                <w:rFonts w:ascii="Arial" w:hAnsi="Arial"/>
                <w:b/>
                <w:color w:val="FFFFFF"/>
                <w:sz w:val="18"/>
              </w:rPr>
              <w:t>Measure</w:t>
            </w:r>
          </w:p>
        </w:tc>
        <w:tc>
          <w:tcPr>
            <w:tcW w:type="dxa" w:w="6192"/>
            <w:shd w:fill="0A3D62"/>
            <w:tcMar>
              <w:top w:w="100" w:type="dxa"/>
              <w:start w:w="95" w:type="dxa"/>
              <w:bottom w:w="100" w:type="dxa"/>
              <w:end w:w="95" w:type="dxa"/>
            </w:tcMar>
            <w:vAlign w:val="center"/>
          </w:tcPr>
          <w:p>
            <w:pPr>
              <w:spacing w:before="0" w:after="0" w:line="240" w:lineRule="auto"/>
              <w:jc w:val="center"/>
            </w:pPr>
            <w:pPr>
              <w:jc w:val="center"/>
            </w:pPr>
            <w:r>
              <w:rPr>
                <w:rFonts w:ascii="Arial" w:hAnsi="Arial"/>
                <w:b/>
                <w:color w:val="FFFFFF"/>
                <w:sz w:val="18"/>
              </w:rPr>
              <w:t>Observed value</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Employee assignment rows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153</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Unique employee identifiers (DNI)</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153; no duplicate DNI observed</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Unique Cost Centers / CeCos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39</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Unique area labels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40</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Unique organic-unit codes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11</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Missing core fields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None observed for DNI, name, CeCo, area, organic unit or organic-unit code</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Budget amounts in this workbook</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Not provided</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Expense-account / Tipo de Gasto mapping</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Not provided</w:t>
            </w:r>
          </w:p>
        </w:tc>
      </w:tr>
    </w:tbl>
    <w:p>
      <w:pPr>
        <w:pStyle w:val="Heading2"/>
      </w:pPr>
      <w:r>
        <w:t>How this data should be used</w:t>
      </w:r>
    </w:p>
    <w:p>
      <w:pPr>
        <w:pStyle w:val="ListBullet"/>
      </w:pPr>
      <w:r>
        <w:t>Create/replace the production Cost Center catalogue using the validated institutional CeCo codes rather than the six generic demo records found in the reviewed backup.</w:t>
      </w:r>
    </w:p>
    <w:p>
      <w:pPr>
        <w:pStyle w:val="ListBullet"/>
      </w:pPr>
      <w:r>
        <w:t>Associate each applicable system user with a default Cost Center. The current backend already supports User.costCenter and additional User.authorizedCostCenters.</w:t>
      </w:r>
    </w:p>
    <w:p>
      <w:pPr>
        <w:pStyle w:val="ListBullet"/>
      </w:pPr>
      <w:r>
        <w:t>Carry Area and Organic Unit metadata into the master-data design so reporting and authorization can follow UMA organizational structure.</w:t>
      </w:r>
    </w:p>
    <w:p>
      <w:pPr>
        <w:pStyle w:val="ListBullet"/>
      </w:pPr>
      <w:r>
        <w:t>Use the source/effective date of the import for auditability. Future updates should be imported as controlled master-data versions rather than manual ad-hoc edits.</w:t>
      </w:r>
    </w:p>
    <w:p>
      <w:pPr>
        <w:pStyle w:val="ListBullet"/>
      </w:pPr>
      <w:r>
        <w:t>Do not infer annual budget, budget item, expense account or project values from this workbook; those require separate Finance/Budget master data.</w:t>
      </w:r>
    </w:p>
    <w:p>
      <w:pPr>
        <w:pStyle w:val="Heading2"/>
      </w:pPr>
      <w:r>
        <w:t>Items requiring validation before import</w:t>
      </w:r>
    </w:p>
    <w:p>
      <w:pPr>
        <w:pStyle w:val="ListBullet"/>
      </w:pPr>
      <w:r>
        <w:t>CeCo 30004 (OFICINA DE ADMISIÓN) appears under organic-unit codes 20011 and 20012.</w:t>
      </w:r>
    </w:p>
    <w:p>
      <w:pPr>
        <w:pStyle w:val="ListBullet"/>
      </w:pPr>
      <w:r>
        <w:t>CeCo 40020 appears under both organic-unit codes 20005 and 20009 and with more than one area label.</w:t>
      </w:r>
    </w:p>
    <w:p>
      <w:pPr>
        <w:pStyle w:val="ListBullet"/>
      </w:pPr>
      <w:r>
        <w:t>CeCo 50103 appears with both EP DE FARMACIA Y BIOQUÍMICA and EP DE PSICOLOGÍA area labels.</w:t>
      </w:r>
    </w:p>
    <w:p>
      <w:pPr>
        <w:pStyle w:val="ListBullet"/>
      </w:pPr>
      <w:r>
        <w:t>CeCo 20007 contains naming variants (TESORERIA vs GERENCIA DE ADMINISTRACION FINANCIERA) under the same organic-unit code.</w:t>
      </w:r>
    </w:p>
    <w:p>
      <w:pPr>
        <w:pStyle w:val="ListBullet"/>
      </w:pPr>
      <w:r>
        <w:t>The Rectorado record for CeCo 20002 is associated with organic-unit code 20009 in the source; confirm whether that hierarchy is intentional.</w:t>
      </w:r>
    </w:p>
    <w:p>
      <w:pPr>
        <w:pStyle w:val="ListBullet"/>
      </w:pPr>
      <w:r>
        <w:t>Confirm whether DNI is only an import/matching identifier or a permanent ERP user attribute.</w:t>
      </w:r>
    </w:p>
    <w:p>
      <w:pPr>
        <w:pStyle w:val="Heading2"/>
        <w:pageBreakBefore/>
      </w:pPr>
      <w:r>
        <w:t>Proposed import acceptance criteria</w:t>
      </w:r>
    </w:p>
    <w:p>
      <w:pPr>
        <w:pStyle w:val="ListBullet"/>
      </w:pPr>
      <w:r>
        <w:t>All 39 validated CeCos can be loaded uniquely by institutional code.</w:t>
      </w:r>
    </w:p>
    <w:p>
      <w:pPr>
        <w:pStyle w:val="ListBullet"/>
      </w:pPr>
      <w:r>
        <w:t>Every imported user mapping resolves to one valid default CeCo; conflicts are reported instead of silently overwritten.</w:t>
      </w:r>
    </w:p>
    <w:p>
      <w:pPr>
        <w:pStyle w:val="ListBullet"/>
      </w:pPr>
      <w:r>
        <w:t>Users can only select their default CeCo or explicitly authorized additional CeCos when creating a request.</w:t>
      </w:r>
    </w:p>
    <w:p>
      <w:pPr>
        <w:pStyle w:val="ListBullet"/>
      </w:pPr>
      <w:r>
        <w:t>Existing requests retain their stored Cost Center snapshot even if master-data descriptions change later.</w:t>
      </w:r>
    </w:p>
    <w:p>
      <w:pPr>
        <w:pStyle w:val="ListBullet"/>
      </w:pPr>
      <w:r>
        <w:t>The import produces a validation report showing inserted, updated, skipped and conflicting records.</w:t>
      </w:r>
    </w:p>
    <w:p>
      <w:pPr>
        <w:pStyle w:val="ListBullet"/>
      </w:pPr>
      <w:r>
        <w:t>No demo Cost Center is used for new production requests after cutover.</w:t>
      </w:r>
    </w:p>
    <w:p>
      <w:pPr>
        <w:pStyle w:val="Heading2"/>
      </w:pPr>
      <w:r>
        <w:t>Technical implementation impact</w:t>
      </w:r>
    </w:p>
    <w:p>
      <w:pPr>
        <w:pStyle w:val="ListBullet"/>
      </w:pPr>
      <w:r>
        <w:t>Extend the Cost Center master to retain the canonical organizational-unit code/name and import source/effective date, or introduce a separate Organic Unit master if Finance wants reusable hierarchy management.</w:t>
      </w:r>
    </w:p>
    <w:p>
      <w:pPr>
        <w:pStyle w:val="ListBullet"/>
      </w:pPr>
      <w:r>
        <w:t>Build a controlled import/validation routine instead of direct database inserts. Conflicting CeCo hierarchy assignments should be exported for review and should block automatic finalization.</w:t>
      </w:r>
    </w:p>
    <w:p>
      <w:pPr>
        <w:pStyle w:val="ListBullet"/>
      </w:pPr>
      <w:r>
        <w:t>Map application users to the validated default CeCo and keep additional access in authorizedCostCenters; do not grant broad CeCo access merely because two employees share an area label.</w:t>
      </w:r>
    </w:p>
    <w:p>
      <w:pPr>
        <w:pStyle w:val="ListBullet"/>
      </w:pPr>
      <w:r>
        <w:t>Deactivate or retire demo Cost Centers for new transactions rather than deleting records that may already be referenced by historical requests.</w:t>
      </w:r>
    </w:p>
    <w:p>
      <w:pPr>
        <w:pStyle w:val="ListBullet"/>
      </w:pPr>
      <w:r>
        <w:t>Update Admin/reporting screens so real institutional CeCo code, area and organic unit can be filtered and audited consistently.</w:t>
      </w:r>
    </w:p>
    <w:p>
      <w:r>
        <w:br w:type="page"/>
      </w:r>
    </w:p>
    <w:p>
      <w:pPr>
        <w:pStyle w:val="Heading1"/>
      </w:pPr>
      <w:r>
        <w:t>Appendix D - Actual UMA BBVA Supplier-Payment TXT Format Review</w:t>
      </w:r>
    </w:p>
    <w:p>
      <w:r>
        <w:rPr>
          <w:b/>
        </w:rPr>
        <w:t xml:space="preserve">Sources reviewed: </w:t>
      </w:r>
      <w:r>
        <w:t>BBVAPROVSOLES31082026(1).txt and BBVAPROVDOLARES31082026(1).txt. These are actual-format examples supplied by UMA for the BBVA provider-payment files currently uploaded by Treasury. This appendix documents only what the files themselves prove; field meanings that cannot be established safely from the samples remain confirmation items.</w:t>
      </w:r>
    </w:p>
    <w:p>
      <w:pPr/>
      <w:r>
        <w:rPr>
          <w:b/>
        </w:rPr>
        <w:t>Confirmed production banking scope: UMA Treasury executes outgoing payment batches from BBVA only. Therefore, the system shall generate BBVA payment files only. BCP, Interbank and Scotiabank source-bank generators are outside production scope and should be disabled/deprecated. This does not, by itself, restrict the beneficiary bank recorded for a supplier; destination-bank/CCI rules remain a Treasury confirmation item.</w:t>
      </w:r>
    </w:p>
    <w:p>
      <w:pPr>
        <w:pStyle w:val="Heading2"/>
      </w:pPr>
      <w:r>
        <w:t>Observed structural facts</w:t>
      </w:r>
    </w:p>
    <w:tbl>
      <w:tblPr>
        <w:tblStyle w:val="TableGrid"/>
        <w:tblW w:type="auto" w:w="0"/>
        <w:tblLook w:firstColumn="1" w:firstRow="1" w:lastColumn="0" w:lastRow="0" w:noHBand="0" w:noVBand="1" w:val="04A0"/>
      </w:tblPr>
      <w:tblGrid>
        <w:gridCol w:w="3331"/>
        <w:gridCol w:w="3331"/>
        <w:gridCol w:w="3331"/>
      </w:tblGrid>
      <w:tr>
        <w:tc>
          <w:tcPr>
            <w:tcW w:type="dxa" w:w="2880"/>
            <w:shd w:fill="0A3D62"/>
            <w:tcMar>
              <w:top w:w="100" w:type="dxa"/>
              <w:start w:w="95" w:type="dxa"/>
              <w:bottom w:w="100" w:type="dxa"/>
              <w:end w:w="95" w:type="dxa"/>
            </w:tcMar>
            <w:vAlign w:val="center"/>
          </w:tcPr>
          <w:p>
            <w:pPr>
              <w:spacing w:before="0" w:after="0" w:line="240" w:lineRule="auto"/>
              <w:jc w:val="center"/>
            </w:pPr>
            <w:pPr>
              <w:jc w:val="center"/>
            </w:pPr>
            <w:r>
              <w:rPr>
                <w:rFonts w:ascii="Arial" w:hAnsi="Arial"/>
                <w:b/>
                <w:color w:val="FFFFFF"/>
                <w:sz w:val="18"/>
              </w:rPr>
              <w:t>Measure</w:t>
            </w:r>
          </w:p>
        </w:tc>
        <w:tc>
          <w:tcPr>
            <w:tcW w:type="dxa" w:w="6192"/>
            <w:shd w:fill="0A3D62"/>
            <w:tcMar>
              <w:top w:w="100" w:type="dxa"/>
              <w:start w:w="95" w:type="dxa"/>
              <w:bottom w:w="100" w:type="dxa"/>
              <w:end w:w="95" w:type="dxa"/>
            </w:tcMar>
            <w:vAlign w:val="center"/>
          </w:tcPr>
          <w:p>
            <w:pPr>
              <w:spacing w:before="0" w:after="0" w:line="240" w:lineRule="auto"/>
              <w:jc w:val="center"/>
            </w:pPr>
            <w:pPr>
              <w:jc w:val="center"/>
            </w:pPr>
            <w:r>
              <w:rPr>
                <w:rFonts w:ascii="Arial" w:hAnsi="Arial"/>
                <w:b/>
                <w:color w:val="FFFFFF"/>
                <w:sz w:val="18"/>
              </w:rPr>
              <w:t>PEN sample</w:t>
            </w:r>
          </w:p>
        </w:tc>
        <w:tc>
          <w:tcPr>
            <w:tcW w:type="dxa" w:w="6192"/>
            <w:shd w:fill="0A3D62"/>
            <w:tcMar>
              <w:top w:w="100" w:type="dxa"/>
              <w:start w:w="95" w:type="dxa"/>
              <w:bottom w:w="100" w:type="dxa"/>
              <w:end w:w="95" w:type="dxa"/>
            </w:tcMar>
            <w:vAlign w:val="center"/>
          </w:tcPr>
          <w:p>
            <w:pPr>
              <w:spacing w:before="0" w:after="0" w:line="240" w:lineRule="auto"/>
              <w:jc w:val="center"/>
            </w:pPr>
            <w:pPr>
              <w:jc w:val="center"/>
            </w:pPr>
            <w:r>
              <w:rPr>
                <w:rFonts w:ascii="Arial" w:hAnsi="Arial"/>
                <w:b/>
                <w:color w:val="FFFFFF"/>
                <w:sz w:val="18"/>
              </w:rPr>
              <w:t>USD sample</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Record count</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 header + 8 detail records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 header + 1 detail record</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Header length</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151 bytes/characters</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151 bytes/characters</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Detail length</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277 bytes/characters per payment</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277 bytes/characters per payment</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Format</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Fixed-width; no delimiter; no column-heading row</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Fixed-width; no delimiter; no column-heading row</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Currency marker observed</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PEN</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USD</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Header payment count observed</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000008</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000001</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Header zero-padded total observed</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000000001771190</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000000000369470</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Reconciled monetary total</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S/ 17,711.90</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US$ 3,694.70</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Line separator in supplied file</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LF</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LF</w:t>
            </w:r>
          </w:p>
        </w:tc>
      </w:tr>
      <w:tr>
        <w:tc>
          <w:tcPr>
            <w:tcW w:type="dxa" w:w="2880"/>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Text encoding observation</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Single-byte Latin/ANSI-compatible bytes; not safe to replace with UTF-8 without confirmation</w:t>
            </w:r>
          </w:p>
        </w:tc>
        <w:tc>
          <w:tcPr>
            <w:tcW w:type="dxa" w:w="6192"/>
            <w:tcMar>
              <w:top w:w="95" w:type="dxa"/>
              <w:start w:w="100" w:type="dxa"/>
              <w:bottom w:w="95" w:type="dxa"/>
              <w:end w:w="100" w:type="dxa"/>
            </w:tcMar>
            <w:vAlign w:val="center"/>
          </w:tcPr>
          <w:p>
            <w:pPr>
              <w:spacing w:before="0" w:after="0" w:line="247" w:lineRule="auto"/>
              <w:jc w:val="left"/>
            </w:pPr>
            <w:pPr>
              <w:jc w:val="left"/>
            </w:pPr>
            <w:r>
              <w:rPr>
                <w:rFonts w:ascii="Arial" w:hAnsi="Arial"/>
                <w:color w:val="172033"/>
                <w:sz w:val="18"/>
              </w:rPr>
              <w:t>Single-byte Latin/ANSI-compatible bytes; not safe to replace with UTF-8 without confirmation</w:t>
            </w:r>
          </w:p>
        </w:tc>
      </w:tr>
    </w:tbl>
    <w:p>
      <w:pPr>
        <w:pStyle w:val="Heading2"/>
      </w:pPr>
      <w:r>
        <w:t>What these files prove for implementation</w:t>
      </w:r>
    </w:p>
    <w:p>
      <w:pPr>
        <w:pStyle w:val="ListBullet"/>
      </w:pPr>
      <w:r>
        <w:t>BBVA cannot use the existing generic semicolon-delimited BankFileAdapter output. A dedicated fixed-width BBVA serializer is required.</w:t>
      </w:r>
    </w:p>
    <w:p>
      <w:pPr>
        <w:pStyle w:val="ListBullet"/>
      </w:pPr>
      <w:r>
        <w:t>A generated file must contain one header record followed immediately by one 277-byte detail record per payment, without a separate column-header row.</w:t>
      </w:r>
    </w:p>
    <w:p>
      <w:pPr>
        <w:pStyle w:val="ListBullet"/>
      </w:pPr>
      <w:r>
        <w:t>The header record contains a payment-count field that matches the number of detail rows in both supplied examples.</w:t>
      </w:r>
    </w:p>
    <w:p>
      <w:pPr>
        <w:pStyle w:val="ListBullet"/>
      </w:pPr>
      <w:r>
        <w:t>The header contains a zero-padded monetary total expressed consistently with cents: the PEN sample reconciles to S/ 17,711.90 and the USD sample to US$ 3,694.70.</w:t>
      </w:r>
    </w:p>
    <w:p>
      <w:pPr>
        <w:pStyle w:val="ListBullet"/>
      </w:pPr>
      <w:r>
        <w:t>PEN and USD are separate currency-specific files. The currency marker is embedded in the header and must match the payment batch currency.</w:t>
      </w:r>
    </w:p>
    <w:p>
      <w:pPr>
        <w:pStyle w:val="ListBullet"/>
      </w:pPr>
      <w:r>
        <w:t>Because record positions are byte-sensitive, padding, truncation, character normalization, encoding and line endings must be deterministic and tested at byte level.</w:t>
      </w:r>
    </w:p>
    <w:p>
      <w:pPr>
        <w:pStyle w:val="ListBullet"/>
      </w:pPr>
      <w:r>
        <w:t>The supplied examples should be stored as protected test fixtures (with sensitive beneficiary data masked in repository-safe fixtures) and used to verify record lengths, count/amount totals and serialization behavior.</w:t>
      </w:r>
    </w:p>
    <w:p>
      <w:pPr>
        <w:pStyle w:val="Heading2"/>
      </w:pPr>
      <w:r>
        <w:t>Current backend mismatch</w:t>
      </w:r>
    </w:p>
    <w:p>
      <w:pPr>
        <w:pStyle w:val="ListBullet"/>
      </w:pPr>
      <w:r>
        <w:t>Current BbvaBankFileAdapter inherits the generic BankFileAdapter and only changes the delimiter to semicolon (;).</w:t>
      </w:r>
    </w:p>
    <w:p>
      <w:pPr>
        <w:pStyle w:val="ListBullet"/>
      </w:pPr>
      <w:r>
        <w:t>Current BankFileAdapter writes a first row beginning with UMA_DEMO_NOT_CERTIFIED, then a column-heading row, then semicolon-delimited payment rows.</w:t>
      </w:r>
    </w:p>
    <w:p>
      <w:pPr>
        <w:pStyle w:val="ListBullet"/>
      </w:pPr>
      <w:r>
        <w:t>The supplied UMA BBVA files contain neither the demo marker nor a column-heading row and are fixed-width. Therefore the current BBVA generator is not upload-compatible with the supplied production format.</w:t>
      </w:r>
    </w:p>
    <w:p>
      <w:pPr>
        <w:pStyle w:val="ListBullet"/>
      </w:pPr>
      <w:r>
        <w:t>BankFormatConfiguration currently marks BBVA PEN and USD as DEMO / certified=false. That control should remain until Finance/Treasury confirms the new generated output and bank upload acceptance.</w:t>
      </w:r>
    </w:p>
    <w:p>
      <w:pPr>
        <w:pStyle w:val="Heading2"/>
      </w:pPr>
      <w:r>
        <w:t>Implementation requirements for BBVA</w:t>
      </w:r>
    </w:p>
    <w:p>
      <w:pPr>
        <w:pStyle w:val="ListBullet"/>
      </w:pPr>
      <w:r>
        <w:t>Implement BBVA PEN and USD as a dedicated serializer rather than the generic delimited generator.</w:t>
      </w:r>
    </w:p>
    <w:p>
      <w:pPr>
        <w:pStyle w:val="ListBullet"/>
      </w:pPr>
      <w:r>
        <w:t>Validate every output line after final encoding: header = 151 bytes; every detail = 277 bytes.</w:t>
      </w:r>
    </w:p>
    <w:p>
      <w:pPr>
        <w:pStyle w:val="ListBullet"/>
      </w:pPr>
      <w:r>
        <w:t>Reject a batch if any beneficiary identifier, bank-account/CCI information, currency, amount or mandatory BBVA field cannot be represented safely in the configured field width.</w:t>
      </w:r>
    </w:p>
    <w:p>
      <w:pPr>
        <w:pStyle w:val="ListBullet"/>
      </w:pPr>
      <w:r>
        <w:t>Calculate payment count and total amount from the actual detail records at generation time; never trust a client-supplied header count/total.</w:t>
      </w:r>
    </w:p>
    <w:p>
      <w:pPr>
        <w:pStyle w:val="ListBullet"/>
      </w:pPr>
      <w:r>
        <w:t>Generate the header only after batch validation so count, currency and total are internally consistent.</w:t>
      </w:r>
    </w:p>
    <w:p>
      <w:pPr>
        <w:pStyle w:val="ListBullet"/>
      </w:pPr>
      <w:r>
        <w:t>Store bank-format version, source sample/version, generated-file hash, creator, timestamp, batch ID and certification status for auditability.</w:t>
      </w:r>
    </w:p>
    <w:p>
      <w:pPr>
        <w:pStyle w:val="ListBullet"/>
      </w:pPr>
      <w:r>
        <w:t>Keep TXT_GENERADO separate from PAGADO. Successful file generation/upload does not constitute bank execution.</w:t>
      </w:r>
    </w:p>
    <w:p>
      <w:pPr>
        <w:pStyle w:val="ListBullet"/>
      </w:pPr>
      <w:r>
        <w:t>Build golden tests for both supplied currency examples and additional edge tests for accented names, maximum field lengths, missing bank data, zero/negative amounts, mixed currencies and totals that require cent precision.</w:t>
      </w:r>
    </w:p>
    <w:p>
      <w:pPr>
        <w:pStyle w:val="Heading2"/>
      </w:pPr>
      <w:r>
        <w:t>Remaining confirmations before BBVA CERTIFIED mode</w:t>
      </w:r>
    </w:p>
    <w:p>
      <w:pPr>
        <w:pStyle w:val="ListBullet"/>
      </w:pPr>
      <w:r>
        <w:t>Confirm that these two files represent the current BBVA production layout accepted by the bank.</w:t>
      </w:r>
    </w:p>
    <w:p>
      <w:pPr>
        <w:pStyle w:val="ListBullet"/>
      </w:pPr>
      <w:r>
        <w:t>Obtain or approve a field-by-field specification identifying each header/detail position, field length, padding direction, allowed characters, constants and dynamic values.</w:t>
      </w:r>
    </w:p>
    <w:p>
      <w:pPr>
        <w:pStyle w:val="ListBullet"/>
      </w:pPr>
      <w:r>
        <w:t>Confirm the exact text encoding expected by BBVA. The samples are consistent with a single-byte Latin/ANSI encoding for observed accented characters; this should not be assumed permanently without confirmation.</w:t>
      </w:r>
    </w:p>
    <w:p>
      <w:pPr>
        <w:pStyle w:val="ListBullet"/>
      </w:pPr>
      <w:r>
        <w:t>Confirm required line endings and whether a final newline is allowed/required.</w:t>
      </w:r>
    </w:p>
    <w:p>
      <w:pPr>
        <w:pStyle w:val="ListBullet"/>
      </w:pPr>
      <w:r>
        <w:t>Confirm the exact production filename convention. The supplied names suggest separate SOLES/DOLARES files with a DDMMYYYY date suffix, but the naming rule should be explicitly approved.</w:t>
      </w:r>
    </w:p>
    <w:p>
      <w:pPr>
        <w:pStyle w:val="ListBullet"/>
      </w:pPr>
      <w:r>
        <w:t>Confirm which BBVA account/product codes or organization identifiers are fixed for UMA and which vary by currency/account.</w:t>
      </w:r>
    </w:p>
    <w:p>
      <w:pPr>
        <w:pStyle w:val="ListBullet"/>
      </w:pPr>
      <w:r>
        <w:t>Run at least one controlled BBVA upload with a system-generated PEN file and one USD file and obtain Treasury/bank acceptance before certified=true is enabled.</w:t>
      </w:r>
    </w:p>
    <w:sectPr w:rsidR="00FC693F" w:rsidRPr="0006063C" w:rsidSect="00034616">
      <w:pgSz w:w="12240" w:h="15840"/>
      <w:pgMar w:top="1037" w:right="1123" w:bottom="979" w:left="1123" w:header="403" w:footer="403" w:gutter="0"/>
      <w:cols w:space="720"/>
      <w:docGrid w:linePitch="360"/>
      <w:pgBorders w:offsetFrom="page">
        <w:top w:val="single" w:sz="8" w:space="18" w:color="CBD5E1"/>
        <w:left w:val="single" w:sz="8" w:space="18" w:color="CBD5E1"/>
        <w:bottom w:val="single" w:sz="8" w:space="18" w:color="CBD5E1"/>
        <w:right w:val="single" w:sz="8" w:space="18" w:color="CBD5E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Pr>
        <w:p>
          <w:r>
            <w:rPr>
              <w:rFonts w:ascii="Aptos" w:hAnsi="Aptos"/>
              <w:sz w:val="17"/>
            </w:rPr>
            <w:t>Current Feature Baseline &amp; Change Requirements  |  v1.4</w:t>
          </w:r>
        </w:p>
      </w:tc>
      <w:tc>
        <w:tcPr>
          <w:tcW w:type="dxa" w:w="4824"/>
        </w:tcPr>
        <w:p>
          <w:pPr>
            <w:jc w:val="right"/>
          </w:pPr>
          <w:r>
            <w:rPr>
              <w:rFonts w:ascii="Arial" w:hAnsi="Arial"/>
              <w:color w:val="475569"/>
              <w:sz w:val="17"/>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0A3D62"/>
        <w:sz w:val="17"/>
      </w:rPr>
      <w:t>UMA  |  Financial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Financial System - Current Features, Changes and Requirements</dc:title>
  <dc:subject>System assessment and implementation requirements - BBVA-only Treasury payment scope</dc:subject>
  <dc:creator>OpenAI</dc:creator>
  <cp:keywords>UMA, CAPEX, OPEX, CXP, Finance, SRS, FPD, gap analysis, requirements</cp:keywords>
  <dc:description>Version 1.3: updated to reflect confirmed BBVA-only outgoing Treasury payment-bank scope.</dc:description>
  <cp:lastModifiedBy/>
  <cp:revision>1</cp:revision>
  <dcterms:created xsi:type="dcterms:W3CDTF">2013-12-23T23:15:00Z</dcterms:created>
  <dcterms:modified xsi:type="dcterms:W3CDTF">2013-12-23T23:15:00Z</dcterms:modified>
  <cp:category/>
</cp:coreProperties>
</file>