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62083" w14:textId="77777777" w:rsidR="00FE0AAA" w:rsidRDefault="00435306">
      <w:pPr>
        <w:pStyle w:val="Heading1"/>
      </w:pPr>
      <w:r>
        <w:rPr>
          <w:color w:val="162D42"/>
        </w:rPr>
        <w:t>UMA</w:t>
      </w:r>
      <w:r>
        <w:rPr>
          <w:color w:val="162D42"/>
          <w:spacing w:val="-9"/>
        </w:rPr>
        <w:t xml:space="preserve"> </w:t>
      </w:r>
      <w:r>
        <w:rPr>
          <w:color w:val="162D42"/>
        </w:rPr>
        <w:t>Financial</w:t>
      </w:r>
      <w:r>
        <w:rPr>
          <w:color w:val="162D42"/>
          <w:spacing w:val="-9"/>
        </w:rPr>
        <w:t xml:space="preserve"> </w:t>
      </w:r>
      <w:r>
        <w:rPr>
          <w:color w:val="162D42"/>
          <w:spacing w:val="-2"/>
        </w:rPr>
        <w:t>Platform</w:t>
      </w:r>
    </w:p>
    <w:p w14:paraId="592A1954" w14:textId="77777777" w:rsidR="00FE0AAA" w:rsidRDefault="00435306">
      <w:pPr>
        <w:pStyle w:val="Heading2"/>
      </w:pPr>
      <w:r>
        <w:rPr>
          <w:color w:val="162D42"/>
        </w:rPr>
        <w:t>Progress</w:t>
      </w:r>
      <w:r>
        <w:rPr>
          <w:color w:val="162D42"/>
          <w:spacing w:val="2"/>
        </w:rPr>
        <w:t xml:space="preserve"> </w:t>
      </w:r>
      <w:r>
        <w:rPr>
          <w:color w:val="162D42"/>
        </w:rPr>
        <w:t>from</w:t>
      </w:r>
      <w:r>
        <w:rPr>
          <w:color w:val="162D42"/>
          <w:spacing w:val="3"/>
        </w:rPr>
        <w:t xml:space="preserve"> </w:t>
      </w:r>
      <w:r>
        <w:rPr>
          <w:color w:val="162D42"/>
        </w:rPr>
        <w:t>the</w:t>
      </w:r>
      <w:r>
        <w:rPr>
          <w:color w:val="162D42"/>
          <w:spacing w:val="3"/>
        </w:rPr>
        <w:t xml:space="preserve"> </w:t>
      </w:r>
      <w:r>
        <w:rPr>
          <w:color w:val="162D42"/>
        </w:rPr>
        <w:t>previous</w:t>
      </w:r>
      <w:r>
        <w:rPr>
          <w:color w:val="162D42"/>
          <w:spacing w:val="3"/>
        </w:rPr>
        <w:t xml:space="preserve"> </w:t>
      </w:r>
      <w:r>
        <w:rPr>
          <w:color w:val="162D42"/>
        </w:rPr>
        <w:t>Excel-based</w:t>
      </w:r>
      <w:r>
        <w:rPr>
          <w:color w:val="162D42"/>
          <w:spacing w:val="2"/>
        </w:rPr>
        <w:t xml:space="preserve"> </w:t>
      </w:r>
      <w:r>
        <w:rPr>
          <w:color w:val="162D42"/>
          <w:spacing w:val="-2"/>
        </w:rPr>
        <w:t>process</w:t>
      </w:r>
    </w:p>
    <w:p w14:paraId="3F1AA041" w14:textId="77777777" w:rsidR="00FE0AAA" w:rsidRDefault="00FE0AAA">
      <w:pPr>
        <w:pStyle w:val="BodyText"/>
        <w:spacing w:before="73"/>
        <w:rPr>
          <w:sz w:val="20"/>
        </w:rPr>
      </w:pPr>
    </w:p>
    <w:tbl>
      <w:tblPr>
        <w:tblW w:w="0" w:type="auto"/>
        <w:tblInd w:w="53" w:type="dxa"/>
        <w:tblBorders>
          <w:top w:val="single" w:sz="4" w:space="0" w:color="D8DFE4"/>
          <w:left w:val="single" w:sz="4" w:space="0" w:color="D8DFE4"/>
          <w:bottom w:val="single" w:sz="4" w:space="0" w:color="D8DFE4"/>
          <w:right w:val="single" w:sz="4" w:space="0" w:color="D8DFE4"/>
          <w:insideH w:val="single" w:sz="4" w:space="0" w:color="D8DFE4"/>
          <w:insideV w:val="single" w:sz="4" w:space="0" w:color="D8DF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0"/>
        <w:gridCol w:w="6024"/>
      </w:tblGrid>
      <w:tr w:rsidR="00FE0AAA" w14:paraId="17E6672C" w14:textId="77777777">
        <w:trPr>
          <w:trHeight w:val="620"/>
        </w:trPr>
        <w:tc>
          <w:tcPr>
            <w:tcW w:w="4200" w:type="dxa"/>
            <w:shd w:val="clear" w:color="auto" w:fill="082A49"/>
          </w:tcPr>
          <w:p w14:paraId="7B82B74D" w14:textId="77777777" w:rsidR="00FE0AAA" w:rsidRDefault="00435306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Previous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system</w:t>
            </w:r>
          </w:p>
        </w:tc>
        <w:tc>
          <w:tcPr>
            <w:tcW w:w="6024" w:type="dxa"/>
            <w:shd w:val="clear" w:color="auto" w:fill="082A49"/>
          </w:tcPr>
          <w:p w14:paraId="60BEEF12" w14:textId="77777777" w:rsidR="00FE0AAA" w:rsidRDefault="00435306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Current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system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and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remaining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work</w:t>
            </w:r>
          </w:p>
        </w:tc>
      </w:tr>
      <w:tr w:rsidR="00FE0AAA" w14:paraId="39C29223" w14:textId="77777777">
        <w:trPr>
          <w:trHeight w:val="1430"/>
        </w:trPr>
        <w:tc>
          <w:tcPr>
            <w:tcW w:w="4200" w:type="dxa"/>
            <w:shd w:val="clear" w:color="auto" w:fill="F4F7FB"/>
          </w:tcPr>
          <w:p w14:paraId="7D10D075" w14:textId="77777777" w:rsidR="00FE0AAA" w:rsidRDefault="00435306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62D42"/>
                <w:sz w:val="20"/>
              </w:rPr>
              <w:t xml:space="preserve">Request </w:t>
            </w:r>
            <w:r>
              <w:rPr>
                <w:rFonts w:ascii="Arial"/>
                <w:b/>
                <w:color w:val="162D42"/>
                <w:spacing w:val="-2"/>
                <w:sz w:val="20"/>
              </w:rPr>
              <w:t>preparation</w:t>
            </w:r>
          </w:p>
          <w:p w14:paraId="091A11AB" w14:textId="77777777" w:rsidR="00FE0AAA" w:rsidRDefault="00435306">
            <w:pPr>
              <w:pStyle w:val="TableParagraph"/>
              <w:spacing w:before="40" w:line="280" w:lineRule="auto"/>
              <w:rPr>
                <w:sz w:val="20"/>
              </w:rPr>
            </w:pPr>
            <w:r>
              <w:rPr>
                <w:color w:val="162D42"/>
                <w:sz w:val="20"/>
              </w:rPr>
              <w:t>Requests were prepared in Excel, with calculations and supporting documents checked manually.</w:t>
            </w:r>
          </w:p>
        </w:tc>
        <w:tc>
          <w:tcPr>
            <w:tcW w:w="6024" w:type="dxa"/>
            <w:shd w:val="clear" w:color="auto" w:fill="F4F7FB"/>
          </w:tcPr>
          <w:p w14:paraId="482475A8" w14:textId="77777777" w:rsidR="00FE0AAA" w:rsidRDefault="00435306">
            <w:pPr>
              <w:pStyle w:val="TableParagraph"/>
              <w:spacing w:line="280" w:lineRule="auto"/>
              <w:ind w:right="224"/>
              <w:rPr>
                <w:sz w:val="20"/>
              </w:rPr>
            </w:pPr>
            <w:r>
              <w:rPr>
                <w:color w:val="162D42"/>
                <w:sz w:val="20"/>
              </w:rPr>
              <w:t>Guided forms calculate item totals, IGV and quotation payment splits automatically. This reduces manual calculation and</w:t>
            </w:r>
            <w:r>
              <w:rPr>
                <w:color w:val="162D42"/>
                <w:spacing w:val="80"/>
                <w:sz w:val="20"/>
              </w:rPr>
              <w:t xml:space="preserve"> </w:t>
            </w:r>
            <w:r>
              <w:rPr>
                <w:color w:val="162D42"/>
                <w:sz w:val="20"/>
              </w:rPr>
              <w:t>keeps request information together.</w:t>
            </w:r>
          </w:p>
        </w:tc>
      </w:tr>
      <w:tr w:rsidR="00FE0AAA" w14:paraId="6C48F60C" w14:textId="77777777">
        <w:trPr>
          <w:trHeight w:val="1430"/>
        </w:trPr>
        <w:tc>
          <w:tcPr>
            <w:tcW w:w="4200" w:type="dxa"/>
          </w:tcPr>
          <w:p w14:paraId="786D15F6" w14:textId="77777777" w:rsidR="00FE0AAA" w:rsidRDefault="00435306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62D42"/>
                <w:spacing w:val="-2"/>
                <w:sz w:val="20"/>
              </w:rPr>
              <w:t>Supplier registration</w:t>
            </w:r>
          </w:p>
          <w:p w14:paraId="0BF088FD" w14:textId="77777777" w:rsidR="00FE0AAA" w:rsidRDefault="00435306">
            <w:pPr>
              <w:pStyle w:val="TableParagraph"/>
              <w:spacing w:before="40" w:line="280" w:lineRule="auto"/>
              <w:ind w:right="375"/>
              <w:rPr>
                <w:sz w:val="20"/>
              </w:rPr>
            </w:pPr>
            <w:r>
              <w:rPr>
                <w:color w:val="162D42"/>
                <w:sz w:val="20"/>
              </w:rPr>
              <w:t>Supplier information was collected in spreadsheets. RUC checks and verification required separate follow-up.</w:t>
            </w:r>
          </w:p>
        </w:tc>
        <w:tc>
          <w:tcPr>
            <w:tcW w:w="6024" w:type="dxa"/>
          </w:tcPr>
          <w:p w14:paraId="25C406E3" w14:textId="77777777" w:rsidR="00FE0AAA" w:rsidRDefault="00435306">
            <w:pPr>
              <w:pStyle w:val="TableParagraph"/>
              <w:spacing w:line="280" w:lineRule="auto"/>
              <w:ind w:right="217"/>
              <w:rPr>
                <w:sz w:val="20"/>
              </w:rPr>
            </w:pPr>
            <w:r>
              <w:rPr>
                <w:color w:val="162D42"/>
                <w:sz w:val="20"/>
              </w:rPr>
              <w:t xml:space="preserve">A central supplier </w:t>
            </w:r>
            <w:proofErr w:type="gramStart"/>
            <w:r>
              <w:rPr>
                <w:color w:val="162D42"/>
                <w:sz w:val="20"/>
              </w:rPr>
              <w:t>register</w:t>
            </w:r>
            <w:proofErr w:type="gramEnd"/>
            <w:r>
              <w:rPr>
                <w:color w:val="162D42"/>
                <w:sz w:val="20"/>
              </w:rPr>
              <w:t xml:space="preserve"> checks duplicates and retrieves SUNAT information in the background. Remaining work: monitor look</w:t>
            </w:r>
            <w:r>
              <w:rPr>
                <w:color w:val="162D42"/>
                <w:sz w:val="20"/>
              </w:rPr>
              <w:t xml:space="preserve">up delays and keep the local </w:t>
            </w:r>
            <w:proofErr w:type="spellStart"/>
            <w:r>
              <w:rPr>
                <w:color w:val="162D42"/>
                <w:sz w:val="20"/>
              </w:rPr>
              <w:t>Padrón</w:t>
            </w:r>
            <w:proofErr w:type="spellEnd"/>
            <w:r>
              <w:rPr>
                <w:color w:val="162D42"/>
                <w:sz w:val="20"/>
              </w:rPr>
              <w:t xml:space="preserve"> up to date.</w:t>
            </w:r>
          </w:p>
        </w:tc>
      </w:tr>
      <w:tr w:rsidR="00FE0AAA" w14:paraId="2A5749AE" w14:textId="77777777">
        <w:trPr>
          <w:trHeight w:val="1430"/>
        </w:trPr>
        <w:tc>
          <w:tcPr>
            <w:tcW w:w="4200" w:type="dxa"/>
            <w:shd w:val="clear" w:color="auto" w:fill="F4F7FB"/>
          </w:tcPr>
          <w:p w14:paraId="4614246B" w14:textId="77777777" w:rsidR="00FE0AAA" w:rsidRDefault="00435306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62D42"/>
                <w:sz w:val="20"/>
              </w:rPr>
              <w:t>Approvals</w:t>
            </w:r>
            <w:r>
              <w:rPr>
                <w:rFonts w:ascii="Arial"/>
                <w:b/>
                <w:color w:val="162D42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162D42"/>
                <w:sz w:val="20"/>
              </w:rPr>
              <w:t>and</w:t>
            </w:r>
            <w:r>
              <w:rPr>
                <w:rFonts w:ascii="Arial"/>
                <w:b/>
                <w:color w:val="162D42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162D42"/>
                <w:sz w:val="20"/>
              </w:rPr>
              <w:t>follow-</w:t>
            </w:r>
            <w:r>
              <w:rPr>
                <w:rFonts w:ascii="Arial"/>
                <w:b/>
                <w:color w:val="162D42"/>
                <w:spacing w:val="-5"/>
                <w:sz w:val="20"/>
              </w:rPr>
              <w:t>up</w:t>
            </w:r>
          </w:p>
          <w:p w14:paraId="0DC5F2AB" w14:textId="77777777" w:rsidR="00FE0AAA" w:rsidRDefault="00435306">
            <w:pPr>
              <w:pStyle w:val="TableParagraph"/>
              <w:spacing w:before="40" w:line="280" w:lineRule="auto"/>
              <w:ind w:right="375"/>
              <w:rPr>
                <w:sz w:val="20"/>
              </w:rPr>
            </w:pPr>
            <w:r>
              <w:rPr>
                <w:color w:val="162D42"/>
                <w:sz w:val="20"/>
              </w:rPr>
              <w:t>Staff</w:t>
            </w:r>
            <w:r>
              <w:rPr>
                <w:color w:val="162D42"/>
                <w:spacing w:val="-1"/>
                <w:sz w:val="20"/>
              </w:rPr>
              <w:t xml:space="preserve"> </w:t>
            </w:r>
            <w:r>
              <w:rPr>
                <w:color w:val="162D42"/>
                <w:sz w:val="20"/>
              </w:rPr>
              <w:t>relied</w:t>
            </w:r>
            <w:r>
              <w:rPr>
                <w:color w:val="162D42"/>
                <w:spacing w:val="-1"/>
                <w:sz w:val="20"/>
              </w:rPr>
              <w:t xml:space="preserve"> </w:t>
            </w:r>
            <w:r>
              <w:rPr>
                <w:color w:val="162D42"/>
                <w:sz w:val="20"/>
              </w:rPr>
              <w:t>on</w:t>
            </w:r>
            <w:r>
              <w:rPr>
                <w:color w:val="162D42"/>
                <w:spacing w:val="-1"/>
                <w:sz w:val="20"/>
              </w:rPr>
              <w:t xml:space="preserve"> </w:t>
            </w:r>
            <w:r>
              <w:rPr>
                <w:color w:val="162D42"/>
                <w:sz w:val="20"/>
              </w:rPr>
              <w:t>spreadsheet</w:t>
            </w:r>
            <w:r>
              <w:rPr>
                <w:color w:val="162D42"/>
                <w:spacing w:val="-1"/>
                <w:sz w:val="20"/>
              </w:rPr>
              <w:t xml:space="preserve"> </w:t>
            </w:r>
            <w:r>
              <w:rPr>
                <w:color w:val="162D42"/>
                <w:sz w:val="20"/>
              </w:rPr>
              <w:t>updates</w:t>
            </w:r>
            <w:r>
              <w:rPr>
                <w:color w:val="162D42"/>
                <w:spacing w:val="-1"/>
                <w:sz w:val="20"/>
              </w:rPr>
              <w:t xml:space="preserve"> </w:t>
            </w:r>
            <w:r>
              <w:rPr>
                <w:color w:val="162D42"/>
                <w:sz w:val="20"/>
              </w:rPr>
              <w:t>and direct follow-up to find out where a request was waiting.</w:t>
            </w:r>
          </w:p>
        </w:tc>
        <w:tc>
          <w:tcPr>
            <w:tcW w:w="6024" w:type="dxa"/>
            <w:shd w:val="clear" w:color="auto" w:fill="F4F7FB"/>
          </w:tcPr>
          <w:p w14:paraId="7DFB3CC5" w14:textId="77777777" w:rsidR="00FE0AAA" w:rsidRDefault="00435306">
            <w:pPr>
              <w:pStyle w:val="TableParagraph"/>
              <w:spacing w:line="280" w:lineRule="auto"/>
              <w:ind w:right="217"/>
              <w:rPr>
                <w:sz w:val="20"/>
              </w:rPr>
            </w:pPr>
            <w:r>
              <w:rPr>
                <w:color w:val="162D42"/>
                <w:sz w:val="20"/>
              </w:rPr>
              <w:t xml:space="preserve">Requests follow defined approval stages with recorded decisions. Remaining work: show who is responsible for each pending action and complete reviewer notifications across the </w:t>
            </w:r>
            <w:r>
              <w:rPr>
                <w:color w:val="162D42"/>
                <w:spacing w:val="-2"/>
                <w:sz w:val="20"/>
              </w:rPr>
              <w:t>platform.</w:t>
            </w:r>
          </w:p>
        </w:tc>
      </w:tr>
      <w:tr w:rsidR="00FE0AAA" w14:paraId="1E1B87A0" w14:textId="77777777">
        <w:trPr>
          <w:trHeight w:val="1430"/>
        </w:trPr>
        <w:tc>
          <w:tcPr>
            <w:tcW w:w="4200" w:type="dxa"/>
          </w:tcPr>
          <w:p w14:paraId="71B25247" w14:textId="77777777" w:rsidR="00FE0AAA" w:rsidRDefault="00435306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62D42"/>
                <w:sz w:val="20"/>
              </w:rPr>
              <w:t xml:space="preserve">Budget </w:t>
            </w:r>
            <w:r>
              <w:rPr>
                <w:rFonts w:ascii="Arial"/>
                <w:b/>
                <w:color w:val="162D42"/>
                <w:spacing w:val="-2"/>
                <w:sz w:val="20"/>
              </w:rPr>
              <w:t>control</w:t>
            </w:r>
          </w:p>
          <w:p w14:paraId="610B653A" w14:textId="77777777" w:rsidR="00FE0AAA" w:rsidRDefault="00435306">
            <w:pPr>
              <w:pStyle w:val="TableParagraph"/>
              <w:spacing w:before="40" w:line="280" w:lineRule="auto"/>
              <w:ind w:right="57"/>
              <w:rPr>
                <w:sz w:val="20"/>
              </w:rPr>
            </w:pPr>
            <w:r>
              <w:rPr>
                <w:color w:val="162D42"/>
                <w:sz w:val="20"/>
              </w:rPr>
              <w:t>Budget availability and spending had to be compared an</w:t>
            </w:r>
            <w:r>
              <w:rPr>
                <w:color w:val="162D42"/>
                <w:sz w:val="20"/>
              </w:rPr>
              <w:t xml:space="preserve">d updated across Excel </w:t>
            </w:r>
            <w:r>
              <w:rPr>
                <w:color w:val="162D42"/>
                <w:spacing w:val="-2"/>
                <w:sz w:val="20"/>
              </w:rPr>
              <w:t>records.</w:t>
            </w:r>
          </w:p>
        </w:tc>
        <w:tc>
          <w:tcPr>
            <w:tcW w:w="6024" w:type="dxa"/>
          </w:tcPr>
          <w:p w14:paraId="0D375098" w14:textId="77777777" w:rsidR="00FE0AAA" w:rsidRDefault="00435306">
            <w:pPr>
              <w:pStyle w:val="TableParagraph"/>
              <w:spacing w:line="280" w:lineRule="auto"/>
              <w:ind w:right="217"/>
              <w:rPr>
                <w:sz w:val="20"/>
              </w:rPr>
            </w:pPr>
            <w:r>
              <w:rPr>
                <w:color w:val="162D42"/>
                <w:sz w:val="20"/>
              </w:rPr>
              <w:t xml:space="preserve">Annual and monthly budgets bring planned, committed, executed and paid amounts into one view. Remaining work: keep allocations current and review budget exceptions </w:t>
            </w:r>
            <w:r>
              <w:rPr>
                <w:color w:val="162D42"/>
                <w:spacing w:val="-2"/>
                <w:sz w:val="20"/>
              </w:rPr>
              <w:t>regularly.</w:t>
            </w:r>
          </w:p>
        </w:tc>
      </w:tr>
      <w:tr w:rsidR="00FE0AAA" w14:paraId="191BA9E4" w14:textId="77777777">
        <w:trPr>
          <w:trHeight w:val="1430"/>
        </w:trPr>
        <w:tc>
          <w:tcPr>
            <w:tcW w:w="4200" w:type="dxa"/>
            <w:shd w:val="clear" w:color="auto" w:fill="F4F7FB"/>
          </w:tcPr>
          <w:p w14:paraId="212EC5A4" w14:textId="77777777" w:rsidR="00FE0AAA" w:rsidRDefault="00435306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62D42"/>
                <w:sz w:val="20"/>
              </w:rPr>
              <w:t>Bank</w:t>
            </w:r>
            <w:r>
              <w:rPr>
                <w:rFonts w:ascii="Arial"/>
                <w:b/>
                <w:color w:val="162D42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162D42"/>
                <w:sz w:val="20"/>
              </w:rPr>
              <w:t>details</w:t>
            </w:r>
            <w:r>
              <w:rPr>
                <w:rFonts w:ascii="Arial"/>
                <w:b/>
                <w:color w:val="162D42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162D42"/>
                <w:sz w:val="20"/>
              </w:rPr>
              <w:t>and</w:t>
            </w:r>
            <w:r>
              <w:rPr>
                <w:rFonts w:ascii="Arial"/>
                <w:b/>
                <w:color w:val="162D42"/>
                <w:spacing w:val="-2"/>
                <w:sz w:val="20"/>
              </w:rPr>
              <w:t xml:space="preserve"> payments</w:t>
            </w:r>
          </w:p>
          <w:p w14:paraId="1A60E71E" w14:textId="77777777" w:rsidR="00FE0AAA" w:rsidRDefault="00435306">
            <w:pPr>
              <w:pStyle w:val="TableParagraph"/>
              <w:spacing w:before="40" w:line="280" w:lineRule="auto"/>
              <w:ind w:right="375"/>
              <w:rPr>
                <w:sz w:val="20"/>
              </w:rPr>
            </w:pPr>
            <w:r>
              <w:rPr>
                <w:color w:val="162D42"/>
                <w:sz w:val="20"/>
              </w:rPr>
              <w:t>Bank information and payment status required</w:t>
            </w:r>
            <w:r>
              <w:rPr>
                <w:color w:val="162D42"/>
                <w:spacing w:val="-1"/>
                <w:sz w:val="20"/>
              </w:rPr>
              <w:t xml:space="preserve"> </w:t>
            </w:r>
            <w:r>
              <w:rPr>
                <w:color w:val="162D42"/>
                <w:sz w:val="20"/>
              </w:rPr>
              <w:t>manual</w:t>
            </w:r>
            <w:r>
              <w:rPr>
                <w:color w:val="162D42"/>
                <w:spacing w:val="-1"/>
                <w:sz w:val="20"/>
              </w:rPr>
              <w:t xml:space="preserve"> </w:t>
            </w:r>
            <w:r>
              <w:rPr>
                <w:color w:val="162D42"/>
                <w:sz w:val="20"/>
              </w:rPr>
              <w:t>recording,</w:t>
            </w:r>
            <w:r>
              <w:rPr>
                <w:color w:val="162D42"/>
                <w:spacing w:val="-1"/>
                <w:sz w:val="20"/>
              </w:rPr>
              <w:t xml:space="preserve"> </w:t>
            </w:r>
            <w:r>
              <w:rPr>
                <w:color w:val="162D42"/>
                <w:sz w:val="20"/>
              </w:rPr>
              <w:t>verification and matching.</w:t>
            </w:r>
          </w:p>
        </w:tc>
        <w:tc>
          <w:tcPr>
            <w:tcW w:w="6024" w:type="dxa"/>
            <w:shd w:val="clear" w:color="auto" w:fill="F4F7FB"/>
          </w:tcPr>
          <w:p w14:paraId="128F28C4" w14:textId="77777777" w:rsidR="00FE0AAA" w:rsidRDefault="00435306">
            <w:pPr>
              <w:pStyle w:val="TableParagraph"/>
              <w:spacing w:line="280" w:lineRule="auto"/>
              <w:ind w:right="257"/>
              <w:rPr>
                <w:sz w:val="20"/>
              </w:rPr>
            </w:pPr>
            <w:r>
              <w:rPr>
                <w:color w:val="162D42"/>
                <w:sz w:val="20"/>
              </w:rPr>
              <w:t xml:space="preserve">Bank profiles have a review process, and payment </w:t>
            </w:r>
            <w:r>
              <w:rPr>
                <w:color w:val="162D42"/>
                <w:sz w:val="20"/>
              </w:rPr>
              <w:t>preparation is separate from payment confirmation. Remaining work: complete bank-review alerts, certify bank formats and</w:t>
            </w:r>
            <w:r>
              <w:rPr>
                <w:color w:val="162D42"/>
                <w:spacing w:val="80"/>
                <w:sz w:val="20"/>
              </w:rPr>
              <w:t xml:space="preserve"> </w:t>
            </w:r>
            <w:r>
              <w:rPr>
                <w:color w:val="162D42"/>
                <w:sz w:val="20"/>
              </w:rPr>
              <w:t>integrate bank responses.</w:t>
            </w:r>
          </w:p>
        </w:tc>
      </w:tr>
      <w:tr w:rsidR="00FE0AAA" w14:paraId="277CCA29" w14:textId="77777777">
        <w:trPr>
          <w:trHeight w:val="1700"/>
        </w:trPr>
        <w:tc>
          <w:tcPr>
            <w:tcW w:w="4200" w:type="dxa"/>
          </w:tcPr>
          <w:p w14:paraId="55515CA1" w14:textId="77777777" w:rsidR="00FE0AAA" w:rsidRDefault="00435306">
            <w:pPr>
              <w:pStyle w:val="TableParagraph"/>
              <w:spacing w:line="280" w:lineRule="auto"/>
              <w:ind w:right="375"/>
              <w:rPr>
                <w:sz w:val="20"/>
              </w:rPr>
            </w:pPr>
            <w:r>
              <w:rPr>
                <w:rFonts w:ascii="Arial"/>
                <w:b/>
                <w:color w:val="162D42"/>
                <w:sz w:val="20"/>
              </w:rPr>
              <w:t xml:space="preserve">Expense renditions and closing </w:t>
            </w:r>
            <w:r>
              <w:rPr>
                <w:color w:val="162D42"/>
                <w:sz w:val="20"/>
              </w:rPr>
              <w:t>Expense</w:t>
            </w:r>
            <w:r>
              <w:rPr>
                <w:color w:val="162D42"/>
                <w:spacing w:val="-7"/>
                <w:sz w:val="20"/>
              </w:rPr>
              <w:t xml:space="preserve"> </w:t>
            </w:r>
            <w:r>
              <w:rPr>
                <w:color w:val="162D42"/>
                <w:sz w:val="20"/>
              </w:rPr>
              <w:t>reports</w:t>
            </w:r>
            <w:r>
              <w:rPr>
                <w:color w:val="162D42"/>
                <w:spacing w:val="-7"/>
                <w:sz w:val="20"/>
              </w:rPr>
              <w:t xml:space="preserve"> </w:t>
            </w:r>
            <w:r>
              <w:rPr>
                <w:color w:val="162D42"/>
                <w:sz w:val="20"/>
              </w:rPr>
              <w:t>and</w:t>
            </w:r>
            <w:r>
              <w:rPr>
                <w:color w:val="162D42"/>
                <w:spacing w:val="-7"/>
                <w:sz w:val="20"/>
              </w:rPr>
              <w:t xml:space="preserve"> </w:t>
            </w:r>
            <w:r>
              <w:rPr>
                <w:color w:val="162D42"/>
                <w:sz w:val="20"/>
              </w:rPr>
              <w:t>advances</w:t>
            </w:r>
            <w:r>
              <w:rPr>
                <w:color w:val="162D42"/>
                <w:spacing w:val="-7"/>
                <w:sz w:val="20"/>
              </w:rPr>
              <w:t xml:space="preserve"> </w:t>
            </w:r>
            <w:r>
              <w:rPr>
                <w:color w:val="162D42"/>
                <w:sz w:val="20"/>
              </w:rPr>
              <w:t>were tracked in Excel. Closing required consolidating records and checking supporting documents.</w:t>
            </w:r>
          </w:p>
        </w:tc>
        <w:tc>
          <w:tcPr>
            <w:tcW w:w="6024" w:type="dxa"/>
          </w:tcPr>
          <w:p w14:paraId="2D5B6D4C" w14:textId="77777777" w:rsidR="00FE0AAA" w:rsidRDefault="00435306">
            <w:pPr>
              <w:pStyle w:val="TableParagraph"/>
              <w:spacing w:line="280" w:lineRule="auto"/>
              <w:ind w:right="499"/>
              <w:rPr>
                <w:sz w:val="20"/>
              </w:rPr>
            </w:pPr>
            <w:r>
              <w:rPr>
                <w:color w:val="162D42"/>
                <w:sz w:val="20"/>
              </w:rPr>
              <w:t>Structured rendition review, accounting checks and period locks support closing. Remaining work: strengthen overdue follow-up</w:t>
            </w:r>
            <w:r>
              <w:rPr>
                <w:color w:val="162D42"/>
                <w:spacing w:val="8"/>
                <w:sz w:val="20"/>
              </w:rPr>
              <w:t xml:space="preserve"> </w:t>
            </w:r>
            <w:r>
              <w:rPr>
                <w:color w:val="162D42"/>
                <w:sz w:val="20"/>
              </w:rPr>
              <w:t>and</w:t>
            </w:r>
            <w:r>
              <w:rPr>
                <w:color w:val="162D42"/>
                <w:spacing w:val="8"/>
                <w:sz w:val="20"/>
              </w:rPr>
              <w:t xml:space="preserve"> </w:t>
            </w:r>
            <w:r>
              <w:rPr>
                <w:color w:val="162D42"/>
                <w:sz w:val="20"/>
              </w:rPr>
              <w:t>complete</w:t>
            </w:r>
            <w:r>
              <w:rPr>
                <w:color w:val="162D42"/>
                <w:spacing w:val="8"/>
                <w:sz w:val="20"/>
              </w:rPr>
              <w:t xml:space="preserve"> </w:t>
            </w:r>
            <w:r>
              <w:rPr>
                <w:color w:val="162D42"/>
                <w:sz w:val="20"/>
              </w:rPr>
              <w:t>direct</w:t>
            </w:r>
            <w:r>
              <w:rPr>
                <w:color w:val="162D42"/>
                <w:spacing w:val="8"/>
                <w:sz w:val="20"/>
              </w:rPr>
              <w:t xml:space="preserve"> </w:t>
            </w:r>
            <w:r>
              <w:rPr>
                <w:color w:val="162D42"/>
                <w:sz w:val="20"/>
              </w:rPr>
              <w:t>SIRE</w:t>
            </w:r>
            <w:r>
              <w:rPr>
                <w:color w:val="162D42"/>
                <w:spacing w:val="8"/>
                <w:sz w:val="20"/>
              </w:rPr>
              <w:t xml:space="preserve"> </w:t>
            </w:r>
            <w:r>
              <w:rPr>
                <w:color w:val="162D42"/>
                <w:sz w:val="20"/>
              </w:rPr>
              <w:t>submissi</w:t>
            </w:r>
            <w:r>
              <w:rPr>
                <w:color w:val="162D42"/>
                <w:sz w:val="20"/>
              </w:rPr>
              <w:t>on</w:t>
            </w:r>
            <w:r>
              <w:rPr>
                <w:color w:val="162D42"/>
                <w:spacing w:val="8"/>
                <w:sz w:val="20"/>
              </w:rPr>
              <w:t xml:space="preserve"> </w:t>
            </w:r>
            <w:r>
              <w:rPr>
                <w:color w:val="162D42"/>
                <w:spacing w:val="-2"/>
                <w:sz w:val="20"/>
              </w:rPr>
              <w:t>integration.</w:t>
            </w:r>
          </w:p>
        </w:tc>
      </w:tr>
      <w:tr w:rsidR="00FE0AAA" w14:paraId="2B0CE2AB" w14:textId="77777777">
        <w:trPr>
          <w:trHeight w:val="1430"/>
        </w:trPr>
        <w:tc>
          <w:tcPr>
            <w:tcW w:w="4200" w:type="dxa"/>
            <w:shd w:val="clear" w:color="auto" w:fill="F4F7FB"/>
          </w:tcPr>
          <w:p w14:paraId="796460A8" w14:textId="77777777" w:rsidR="00FE0AAA" w:rsidRDefault="00435306">
            <w:pPr>
              <w:pStyle w:val="TableParagraph"/>
              <w:spacing w:line="280" w:lineRule="auto"/>
              <w:ind w:right="375"/>
              <w:rPr>
                <w:sz w:val="20"/>
              </w:rPr>
            </w:pPr>
            <w:r>
              <w:rPr>
                <w:rFonts w:ascii="Arial"/>
                <w:b/>
                <w:color w:val="162D42"/>
                <w:sz w:val="20"/>
              </w:rPr>
              <w:t>Traceability and results</w:t>
            </w:r>
            <w:r>
              <w:rPr>
                <w:rFonts w:ascii="Arial"/>
                <w:b/>
                <w:color w:val="162D42"/>
                <w:spacing w:val="40"/>
                <w:sz w:val="20"/>
              </w:rPr>
              <w:t xml:space="preserve"> </w:t>
            </w:r>
            <w:r>
              <w:rPr>
                <w:color w:val="162D42"/>
                <w:sz w:val="20"/>
              </w:rPr>
              <w:t>Reconstructing a transaction meant gathering spreadsheets, documents and approval evidence.</w:t>
            </w:r>
          </w:p>
        </w:tc>
        <w:tc>
          <w:tcPr>
            <w:tcW w:w="6024" w:type="dxa"/>
            <w:shd w:val="clear" w:color="auto" w:fill="F4F7FB"/>
          </w:tcPr>
          <w:p w14:paraId="1ADCFE1A" w14:textId="77777777" w:rsidR="00FE0AAA" w:rsidRDefault="00435306">
            <w:pPr>
              <w:pStyle w:val="TableParagraph"/>
              <w:spacing w:line="280" w:lineRule="auto"/>
              <w:ind w:right="217"/>
              <w:rPr>
                <w:sz w:val="20"/>
              </w:rPr>
            </w:pPr>
            <w:r>
              <w:rPr>
                <w:color w:val="162D42"/>
                <w:sz w:val="20"/>
              </w:rPr>
              <w:t xml:space="preserve">Request histories, attachments and role permissions make transactions easier to trace. Remaining work: measure processing </w:t>
            </w:r>
            <w:r>
              <w:rPr>
                <w:color w:val="162D42"/>
                <w:sz w:val="20"/>
              </w:rPr>
              <w:t>times and rework to confirm the practical gains.</w:t>
            </w:r>
          </w:p>
        </w:tc>
      </w:tr>
    </w:tbl>
    <w:p w14:paraId="28608EF1" w14:textId="77777777" w:rsidR="00FE0AAA" w:rsidRDefault="00FE0AAA">
      <w:pPr>
        <w:pStyle w:val="BodyText"/>
        <w:spacing w:before="15"/>
        <w:rPr>
          <w:sz w:val="20"/>
        </w:rPr>
      </w:pPr>
    </w:p>
    <w:p w14:paraId="1B587EB5" w14:textId="0A523154" w:rsidR="00FE0AAA" w:rsidRDefault="00FE0AAA">
      <w:pPr>
        <w:pStyle w:val="BodyText"/>
        <w:spacing w:line="271" w:lineRule="auto"/>
        <w:ind w:left="47" w:right="387"/>
      </w:pPr>
    </w:p>
    <w:sectPr w:rsidR="00FE0AAA">
      <w:type w:val="continuous"/>
      <w:pgSz w:w="12240" w:h="15840"/>
      <w:pgMar w:top="8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AA"/>
    <w:rsid w:val="00435306"/>
    <w:rsid w:val="00FE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151D2"/>
  <w15:docId w15:val="{B85ABB8C-C8A2-4A88-A245-4C9AE27D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6"/>
      <w:ind w:left="47"/>
      <w:outlineLvl w:val="0"/>
    </w:pPr>
    <w:rPr>
      <w:rFonts w:ascii="Arial" w:eastAsia="Arial" w:hAnsi="Arial" w:cs="Arial"/>
      <w:b/>
      <w:bCs/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spacing w:before="183"/>
      <w:ind w:left="47"/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87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341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UMA Financial Platform - Progress Review</dc:title>
  <dc:subject>(unspecified)</dc:subject>
  <dc:creator>UMA</dc:creator>
  <cp:lastModifiedBy>Darshan Pravin</cp:lastModifiedBy>
  <cp:revision>2</cp:revision>
  <dcterms:created xsi:type="dcterms:W3CDTF">2026-09-14T16:04:00Z</dcterms:created>
  <dcterms:modified xsi:type="dcterms:W3CDTF">2026-09-14T16:04:00Z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2026-09-14T00:00:00Z</vt:filetime>
  </property>
  <property fmtid="{D5CDD505-2E9C-101B-9397-08002B2CF9AE}" pid="6" name="Producer">
    <vt:lpwstr>ReportLab PDF Library - (opensource)</vt:lpwstr>
  </property>
  <property fmtid="{D5CDD505-2E9C-101B-9397-08002B2CF9AE}" pid="7" name="GrammarlyDocumentId">
    <vt:lpwstr>39a2e201-b9e5-4335-8a61-bbee4f4b79be</vt:lpwstr>
  </property>
</Properties>
</file>