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7DE5A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Asunciones del Sistema para el Desarrollo del Módulo</w:t>
      </w:r>
    </w:p>
    <w:p w14:paraId="6CEA27D7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1. Asunciones de Integración y Validación Contable (Cierre Mensual)</w:t>
      </w:r>
    </w:p>
    <w:p w14:paraId="6E075AC3" w14:textId="77777777" w:rsidR="00AD2A26" w:rsidRPr="00AD2A26" w:rsidRDefault="00AD2A26" w:rsidP="00AD2A2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Asiento Contable Automatizado: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 Se asume que el sistema generará de forma automática el asiento de provisión del gasto/activo al momento de la aprobación final del requerimiento (o validación del comprobante) y el asiento de pago al generar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el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.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txt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del banco.</w:t>
      </w:r>
    </w:p>
    <w:p w14:paraId="2B31EE31" w14:textId="77777777" w:rsidR="00AD2A26" w:rsidRPr="00AD2A26" w:rsidRDefault="00AD2A26" w:rsidP="00AD2A2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 xml:space="preserve">Estructura del Asiento por </w:t>
      </w:r>
      <w:proofErr w:type="spellStart"/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CeCo</w:t>
      </w:r>
      <w:proofErr w:type="spellEnd"/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 xml:space="preserve"> y Tipo de Gasto: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Cada línea de gasto del asiento contable debe viajar obligatoriamente amarrada a dos dimensiones en la base de datos: el 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Centro de Costos (</w:t>
      </w:r>
      <w:proofErr w:type="spellStart"/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CeCo</w:t>
      </w:r>
      <w:proofErr w:type="spellEnd"/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)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de origen y el 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Tipo de Gasto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(Cuenta contable de transferencia o destino: Clase 6 para OPEX, Clase 3 para CAPEX, o subcuenta de Gastos No Deducibles según corresponda). El sistema no permitirá guardar ningún registro si estas dos variables están vacías.</w:t>
      </w:r>
    </w:p>
    <w:p w14:paraId="358B9150" w14:textId="77777777" w:rsidR="00AD2A26" w:rsidRPr="00AD2A26" w:rsidRDefault="00AD2A26" w:rsidP="00AD2A2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Bloqueo de Periodo (Cierre Mensual):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Se asume que el módulo contará con un parámetro de "Fecha de Cierre Contable". Una vez que Contabilidad cierre el mes, el sistema bloqueará automáticamente cualquier intento de registrar, modificar o aprobar requerimientos con fecha de emisión de ese mes, forzando al usuario a registrar el gasto en el periodo abierto (mes siguiente).</w:t>
      </w:r>
    </w:p>
    <w:p w14:paraId="465276CA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2. Asunciones sobre el Flujo de Documentos y SUNAT</w:t>
      </w:r>
    </w:p>
    <w:p w14:paraId="64A3FD38" w14:textId="77777777" w:rsidR="00AD2A26" w:rsidRPr="00AD2A26" w:rsidRDefault="00AD2A26" w:rsidP="00AD2A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Sustento Digital Obligatorio: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Para los tipos de requerimiento "Pago con Cotización" y "Reembolso con Sustento", el sistema asumirá que el flujo no puede avanzar al estado </w:t>
      </w:r>
      <w:r w:rsidRPr="00AD2A26">
        <w:rPr>
          <w:rFonts w:ascii="Arial" w:eastAsia="Times New Roman" w:hAnsi="Arial" w:cs="Arial"/>
          <w:i/>
          <w:iCs/>
          <w:color w:val="242424"/>
          <w:kern w:val="0"/>
          <w:sz w:val="24"/>
          <w:szCs w:val="24"/>
          <w:lang w:eastAsia="es-PE"/>
          <w14:ligatures w14:val="none"/>
        </w:rPr>
        <w:t>Aprobado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si el usuario no ha cargado los archivos adjuntos obligatorios (XML y PDF).</w:t>
      </w:r>
    </w:p>
    <w:p w14:paraId="02364562" w14:textId="77777777" w:rsidR="00AD2A26" w:rsidRPr="00AD2A26" w:rsidRDefault="00AD2A26" w:rsidP="00AD2A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Sincronización con el SIRE: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Se asume que los requerimientos de compras aprobados y validados con SUNAT se exportarán o conectarán de manera directa con las tablas del Sistema de Registros Electrónicos (SIRE), específicamente alimentando el Registro de Compras Electrónico (RCE) para asegurar el correcto arrastre del crédito fiscal (IGV).</w:t>
      </w:r>
    </w:p>
    <w:p w14:paraId="771073A0" w14:textId="77777777" w:rsidR="00AD2A26" w:rsidRPr="00AD2A26" w:rsidRDefault="00AD2A26" w:rsidP="00AD2A2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Inmutabilidad del XML: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El sistema asumirá el XML de SUNAT como la "única fuente de verdad" para los montos. Si el usuario intenta modificar manualmente el IGV o el Monto Total en el formulario del ERP y este no coincide con el archivo XML validado, el sistema arrojará un error de consistencia y bloqueará el guardado.</w:t>
      </w:r>
    </w:p>
    <w:p w14:paraId="4D30B5B7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3. Asunciones Operativas y de Moneda</w:t>
      </w:r>
    </w:p>
    <w:p w14:paraId="60B8104F" w14:textId="5A62EACD" w:rsidR="00AD2A26" w:rsidRPr="00AD2A26" w:rsidRDefault="00AD2A26" w:rsidP="00AD2A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Multimoneda</w:t>
      </w:r>
      <w:proofErr w:type="spellEnd"/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 xml:space="preserve"> y Tipo de Cambio: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 Se asume que el ERP consumirá diariamente el Tipo de Cambio oficial de la SUNAT (Venta) de forma automática. Si un requerimiento se registra en </w:t>
      </w:r>
      <w:proofErr w:type="gram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Dólares</w:t>
      </w:r>
      <w:proofErr w:type="gram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(</w:t>
      </w:r>
      <w:r w:rsidRPr="00AD2A26">
        <w:rPr>
          <w:noProof/>
        </w:rPr>
        <w:drawing>
          <wp:inline distT="0" distB="0" distL="0" distR="0" wp14:anchorId="06CE0636" wp14:editId="27A75B36">
            <wp:extent cx="95250" cy="219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) pero el Centro de Costos se mide en Soles (</w:t>
      </w:r>
      <w:r w:rsidRPr="00AD2A26">
        <w:rPr>
          <w:noProof/>
        </w:rPr>
        <w:drawing>
          <wp:inline distT="0" distB="0" distL="0" distR="0" wp14:anchorId="28D0F9B2" wp14:editId="5255D73D">
            <wp:extent cx="238125" cy="219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), el sistema realizará la conversión interna en tiempo real para efectos del control del gasto, manteniendo ambas monedas en el asiento contable final.</w:t>
      </w:r>
    </w:p>
    <w:p w14:paraId="105696F2" w14:textId="77777777" w:rsidR="00AD2A26" w:rsidRPr="00AD2A26" w:rsidRDefault="00AD2A26" w:rsidP="00AD2A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unicidad del Proveedor: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Se asume que la base de datos de proveedores tiene como clave primaria única el número de RUC o DNI. No se permitirán registros duplicados de un mismo proveedor. Si un proveedor cambia de cuenta bancaria o CCI, el sistema mantendrá un histórico de cuentas activas/inactivas para evitar errores en las cargas masivas del banco.</w:t>
      </w:r>
    </w:p>
    <w:p w14:paraId="64E97922" w14:textId="77777777" w:rsidR="00AD2A26" w:rsidRPr="00AD2A26" w:rsidRDefault="00AD2A26" w:rsidP="00AD2A2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lastRenderedPageBreak/>
        <w:t>Entregas a Rendir como Cuenta de Tránsito: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 El sistema asumirá que el desembolso de una "Entrega a Rendir" no es un gasto inmediato, sino un derecho (Cuenta 14 / Personal). El asiento de gasto real y su respectivo direccionamiento por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CeCo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se gatillarán recién cuando el colaborador rinda los comprobantes validados.</w:t>
      </w:r>
    </w:p>
    <w:p w14:paraId="6BD90888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4. Asunciones de Escalabilidad (Presupuesto Futuro)</w:t>
      </w:r>
    </w:p>
    <w:p w14:paraId="00293AED" w14:textId="77777777" w:rsidR="00AD2A26" w:rsidRPr="00AD2A26" w:rsidRDefault="00AD2A26" w:rsidP="00AD2A2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Estructura de Datos Lista: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 Aunque la Fase 1 no bloquee por presupuesto, las tablas de la base de datos de los Centros de Costos ya deben incluir los campos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Presupuesto_Asignado_Anual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,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Monto_Ejecutado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y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Monto_Disponible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. En esta etapa, el campo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Monto_Disponible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simplemente se calculará de manera informativa, quedando listo para que el programador active la lógica de bloqueo en la Fase 2 sin tener que rediseñar la base de datos.</w:t>
      </w:r>
    </w:p>
    <w:p w14:paraId="48C650C4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</w:t>
      </w:r>
    </w:p>
    <w:p w14:paraId="7B1551A8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5. Diagrama de Arquitectura Lógica del Flujo (Pipeline)</w:t>
      </w:r>
    </w:p>
    <w:p w14:paraId="7BEA9C2E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El flujo se divide en 4 capas críticas: 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Entrada/Usuario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, 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Validación y Reglas de Negocio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, 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Motor de Aprobación Jerárquica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y 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Salida Contable/Bancaria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.</w:t>
      </w:r>
    </w:p>
    <w:p w14:paraId="4C781636" w14:textId="56190B25" w:rsidR="001A0427" w:rsidRDefault="001A0427"/>
    <w:p w14:paraId="19CD7152" w14:textId="79811952" w:rsidR="00AD2A26" w:rsidRDefault="00AD2A26"/>
    <w:p w14:paraId="68B56A61" w14:textId="12BEF45E" w:rsidR="00AD2A26" w:rsidRDefault="00AD2A26"/>
    <w:p w14:paraId="42B1678E" w14:textId="5B5B006C" w:rsidR="00AD2A26" w:rsidRDefault="00AD2A26">
      <w:r>
        <w:rPr>
          <w:noProof/>
        </w:rPr>
        <w:drawing>
          <wp:inline distT="0" distB="0" distL="0" distR="0" wp14:anchorId="1103FF4E" wp14:editId="435CD4C2">
            <wp:extent cx="5400040" cy="35998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294B" w14:textId="6EF81CE0" w:rsidR="00AD2A26" w:rsidRDefault="00AD2A26"/>
    <w:p w14:paraId="06830E29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6. Matriz de Estados del Requerimiento (Máquina de Estados)</w:t>
      </w:r>
    </w:p>
    <w:p w14:paraId="6CC2EB98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El programador necesita controlar el ciclo de vida del requerimiento mediante un campo llamado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Estado_Solicitud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. Los estados obligatorios en la base de datos serán:</w:t>
      </w:r>
    </w:p>
    <w:p w14:paraId="0CD528F9" w14:textId="77777777" w:rsidR="00AD2A26" w:rsidRPr="00AD2A26" w:rsidRDefault="00AD2A26" w:rsidP="00AD2A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BORRADOR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El usuario está cargando los datos; no es visible para los aprobadores.</w:t>
      </w:r>
    </w:p>
    <w:p w14:paraId="68918A95" w14:textId="77777777" w:rsidR="00AD2A26" w:rsidRPr="00AD2A26" w:rsidRDefault="00AD2A26" w:rsidP="00AD2A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lastRenderedPageBreak/>
        <w:t>EN_VALIDACION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El sistema está cruzando el XML con la API de la SUNAT.</w:t>
      </w:r>
    </w:p>
    <w:p w14:paraId="327E63D3" w14:textId="77777777" w:rsidR="00AD2A26" w:rsidRPr="00AD2A26" w:rsidRDefault="00AD2A26" w:rsidP="00AD2A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PENDIENTE_APROBACION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En cola de revisión por la jerarquía correspondiente.</w:t>
      </w:r>
    </w:p>
    <w:p w14:paraId="35C86C7F" w14:textId="77777777" w:rsidR="00AD2A26" w:rsidRPr="00AD2A26" w:rsidRDefault="00AD2A26" w:rsidP="00AD2A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RECHAZADO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 Devuelto al solicitante con observaciones (libera el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preconteo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del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CeCo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).</w:t>
      </w:r>
    </w:p>
    <w:p w14:paraId="64F70B9E" w14:textId="77777777" w:rsidR="00AD2A26" w:rsidRPr="00AD2A26" w:rsidRDefault="00AD2A26" w:rsidP="00AD2A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APROBADO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 / 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POR_PAGAR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Aprobación final concedida. Si requería OC, se genera en este estado. Entra en la cola de Tesorería.</w:t>
      </w:r>
    </w:p>
    <w:p w14:paraId="7485912D" w14:textId="77777777" w:rsidR="00AD2A26" w:rsidRPr="00AD2A26" w:rsidRDefault="00AD2A26" w:rsidP="00AD2A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PROCESADO_BANCO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Incluido exitosamente en el archivo .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txt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generado para la carga masiva del banco.</w:t>
      </w:r>
    </w:p>
    <w:p w14:paraId="431F50F3" w14:textId="77777777" w:rsidR="00AD2A26" w:rsidRPr="00AD2A26" w:rsidRDefault="00AD2A26" w:rsidP="00AD2A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RENDICION_PENDIENTE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(Exclusivo para </w:t>
      </w:r>
      <w:r w:rsidRPr="00AD2A26">
        <w:rPr>
          <w:rFonts w:ascii="Arial" w:eastAsia="Times New Roman" w:hAnsi="Arial" w:cs="Arial"/>
          <w:i/>
          <w:iCs/>
          <w:color w:val="242424"/>
          <w:kern w:val="0"/>
          <w:sz w:val="24"/>
          <w:szCs w:val="24"/>
          <w:lang w:eastAsia="es-PE"/>
          <w14:ligatures w14:val="none"/>
        </w:rPr>
        <w:t>Entregas a Rendir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) Fondos desembolsados, esperando comprobantes del usuario.</w:t>
      </w:r>
    </w:p>
    <w:p w14:paraId="23715FCF" w14:textId="77777777" w:rsidR="00AD2A26" w:rsidRPr="00AD2A26" w:rsidRDefault="00AD2A26" w:rsidP="00AD2A2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LIQUIDADO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 / 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CERRADO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: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Flujo terminado, asiento de provisión y pago ejecutados, e integrado al periodo del SIRE correspondiente.</w:t>
      </w:r>
    </w:p>
    <w:p w14:paraId="4F754065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 xml:space="preserve">7. Arquitectura de Integración de Datos (Data </w:t>
      </w:r>
      <w:proofErr w:type="spellStart"/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Mapping</w:t>
      </w:r>
      <w:proofErr w:type="spellEnd"/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)</w:t>
      </w:r>
    </w:p>
    <w:p w14:paraId="6034455F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Para que el programador asegure el cierre mensual por 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Centro de Costos (</w:t>
      </w:r>
      <w:proofErr w:type="spellStart"/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CeCo</w:t>
      </w:r>
      <w:proofErr w:type="spellEnd"/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)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 y </w:t>
      </w: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Tipo de Gasto</w:t>
      </w: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, el esquema de datos debe seguir esta jerarquía relacional al momento de guardar el requerimiento:</w:t>
      </w:r>
    </w:p>
    <w:p w14:paraId="50562FD1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Tabla Principal: 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Cabecera_Requerimiento</w:t>
      </w:r>
      <w:proofErr w:type="spellEnd"/>
    </w:p>
    <w:p w14:paraId="15754AC2" w14:textId="77777777" w:rsidR="00AD2A26" w:rsidRPr="00AD2A26" w:rsidRDefault="00AD2A26" w:rsidP="00AD2A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ID_Requerimiento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(Llave primaria)</w:t>
      </w:r>
    </w:p>
    <w:p w14:paraId="4FC1A22F" w14:textId="77777777" w:rsidR="00AD2A26" w:rsidRPr="00AD2A26" w:rsidRDefault="00AD2A26" w:rsidP="00AD2A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Fecha_Emision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/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Periodo_Contable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(Ej. 2026-07)</w:t>
      </w:r>
    </w:p>
    <w:p w14:paraId="5277B745" w14:textId="77777777" w:rsidR="00AD2A26" w:rsidRPr="00AD2A26" w:rsidRDefault="00AD2A26" w:rsidP="00AD2A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ID_Solicitante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/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ID_Area</w:t>
      </w:r>
      <w:proofErr w:type="spellEnd"/>
    </w:p>
    <w:p w14:paraId="55BEB5DF" w14:textId="77777777" w:rsidR="00AD2A26" w:rsidRPr="00AD2A26" w:rsidRDefault="00AD2A26" w:rsidP="00AD2A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Tipo_Requerimiento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(OPEX / CAPEX / Entrega a Rendir / Reembolso Sin Sustento)</w:t>
      </w:r>
    </w:p>
    <w:p w14:paraId="105403C2" w14:textId="77777777" w:rsidR="00AD2A26" w:rsidRPr="00AD2A26" w:rsidRDefault="00AD2A26" w:rsidP="00AD2A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Moneda (PEN / USD)</w:t>
      </w:r>
    </w:p>
    <w:p w14:paraId="0220D17E" w14:textId="77777777" w:rsidR="00AD2A26" w:rsidRPr="00AD2A26" w:rsidRDefault="00AD2A26" w:rsidP="00AD2A2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Monto_Total</w:t>
      </w:r>
      <w:proofErr w:type="spellEnd"/>
    </w:p>
    <w:p w14:paraId="4011821A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Tabla Detalle: 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Lineas_Requerimiento</w:t>
      </w:r>
      <w:proofErr w:type="spellEnd"/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 (Crucial para Contabilidad)</w:t>
      </w:r>
    </w:p>
    <w:p w14:paraId="7AB8E32E" w14:textId="77777777" w:rsidR="00AD2A26" w:rsidRPr="00AD2A26" w:rsidRDefault="00AD2A26" w:rsidP="00AD2A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ID_Linea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(Llave primaria)</w:t>
      </w:r>
    </w:p>
    <w:p w14:paraId="21F05459" w14:textId="77777777" w:rsidR="00AD2A26" w:rsidRPr="00AD2A26" w:rsidRDefault="00AD2A26" w:rsidP="00AD2A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ID_Requerimiento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(Llave foránea)</w:t>
      </w:r>
    </w:p>
    <w:p w14:paraId="1BE09EE5" w14:textId="77777777" w:rsidR="00AD2A26" w:rsidRPr="00AD2A26" w:rsidRDefault="00AD2A26" w:rsidP="00AD2A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ID_Centro_Costos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(Atado obligatoriamente a la estructura de la universidad/empresa)</w:t>
      </w:r>
    </w:p>
    <w:p w14:paraId="133C7263" w14:textId="77777777" w:rsidR="00AD2A26" w:rsidRPr="00AD2A26" w:rsidRDefault="00AD2A26" w:rsidP="00AD2A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ID_Tipo_Gasto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/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Cuenta_Contable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(Clase 6 para OPEX, Clase 3 para CAPEX, Cuenta 99 para No Deducibles)</w:t>
      </w:r>
    </w:p>
    <w:p w14:paraId="10FD067A" w14:textId="77777777" w:rsidR="00AD2A26" w:rsidRPr="00AD2A26" w:rsidRDefault="00AD2A26" w:rsidP="00AD2A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Monto_Neto</w:t>
      </w:r>
      <w:proofErr w:type="spellEnd"/>
    </w:p>
    <w:p w14:paraId="55EE26DF" w14:textId="77777777" w:rsidR="00AD2A26" w:rsidRPr="00AD2A26" w:rsidRDefault="00AD2A26" w:rsidP="00AD2A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Monto_IGV</w:t>
      </w:r>
      <w:proofErr w:type="spellEnd"/>
    </w:p>
    <w:p w14:paraId="2C562DD4" w14:textId="77777777" w:rsidR="00AD2A26" w:rsidRPr="00AD2A26" w:rsidRDefault="00AD2A26" w:rsidP="00AD2A2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Monto_Total_Linea</w:t>
      </w:r>
      <w:proofErr w:type="spellEnd"/>
    </w:p>
    <w:p w14:paraId="0128D850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8. Regla de Cierre de Mes (Scripts de Control)</w:t>
      </w:r>
    </w:p>
    <w:p w14:paraId="16FF34AE" w14:textId="77777777" w:rsidR="00AD2A26" w:rsidRPr="00AD2A26" w:rsidRDefault="00AD2A26" w:rsidP="00AD2A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El programador debe implementar un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trigger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o regla en el </w:t>
      </w:r>
      <w:proofErr w:type="spellStart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>backend</w:t>
      </w:r>
      <w:proofErr w:type="spellEnd"/>
      <w:r w:rsidRPr="00AD2A26"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  <w:t xml:space="preserve"> para el cierre del periodo:</w:t>
      </w:r>
    </w:p>
    <w:p w14:paraId="5794B2DB" w14:textId="77777777" w:rsidR="00AD2A26" w:rsidRPr="00AD2A26" w:rsidRDefault="00AD2A26" w:rsidP="00AD2A2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kern w:val="0"/>
          <w:sz w:val="24"/>
          <w:szCs w:val="24"/>
          <w:lang w:eastAsia="es-PE"/>
          <w14:ligatures w14:val="none"/>
        </w:rPr>
      </w:pPr>
      <w:r w:rsidRPr="00AD2A26">
        <w:rPr>
          <w:rFonts w:ascii="Arial" w:eastAsia="Times New Roman" w:hAnsi="Arial" w:cs="Arial"/>
          <w:b/>
          <w:bCs/>
          <w:color w:val="242424"/>
          <w:kern w:val="0"/>
          <w:sz w:val="24"/>
          <w:szCs w:val="24"/>
          <w:lang w:eastAsia="es-PE"/>
          <w14:ligatures w14:val="none"/>
        </w:rPr>
        <w:t>Validación de Bloqueo:</w:t>
      </w:r>
    </w:p>
    <w:p w14:paraId="3F78B15D" w14:textId="17BCBF59" w:rsidR="00AD2A26" w:rsidRDefault="00AD2A26"/>
    <w:p w14:paraId="3F058682" w14:textId="52060683" w:rsidR="00AD2A26" w:rsidRDefault="00AD2A26"/>
    <w:p w14:paraId="4C34AEE6" w14:textId="75D9A9D8" w:rsidR="00AD2A26" w:rsidRDefault="00AD2A26">
      <w:r>
        <w:rPr>
          <w:noProof/>
        </w:rPr>
        <w:lastRenderedPageBreak/>
        <w:drawing>
          <wp:inline distT="0" distB="0" distL="0" distR="0" wp14:anchorId="35FF598D" wp14:editId="170354D2">
            <wp:extent cx="5400040" cy="35998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AE18" w14:textId="3BED480D" w:rsidR="00AD2A26" w:rsidRDefault="00AD2A26"/>
    <w:p w14:paraId="489702A3" w14:textId="77777777" w:rsidR="00AD2A26" w:rsidRDefault="00AD2A26" w:rsidP="00AD2A26">
      <w:pPr>
        <w:pStyle w:val="xxmsonormal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42424"/>
        </w:rPr>
      </w:pPr>
      <w:r>
        <w:rPr>
          <w:rFonts w:ascii="Arial" w:hAnsi="Arial" w:cs="Arial"/>
          <w:b/>
          <w:bCs/>
          <w:color w:val="242424"/>
        </w:rPr>
        <w:t>Consistencia:</w:t>
      </w:r>
      <w:r>
        <w:rPr>
          <w:rFonts w:ascii="Arial" w:hAnsi="Arial" w:cs="Arial"/>
          <w:color w:val="242424"/>
        </w:rPr>
        <w:t xml:space="preserve"> Cada fin de mes, el sistema correrá un proceso que consolidará la suma de todas las </w:t>
      </w:r>
      <w:proofErr w:type="spellStart"/>
      <w:r>
        <w:rPr>
          <w:rFonts w:ascii="Arial" w:hAnsi="Arial" w:cs="Arial"/>
          <w:color w:val="242424"/>
        </w:rPr>
        <w:t>Lineas_Requerimiento</w:t>
      </w:r>
      <w:proofErr w:type="spellEnd"/>
      <w:r>
        <w:rPr>
          <w:rFonts w:ascii="Arial" w:hAnsi="Arial" w:cs="Arial"/>
          <w:color w:val="242424"/>
        </w:rPr>
        <w:t xml:space="preserve"> agrupadas por </w:t>
      </w:r>
      <w:proofErr w:type="spellStart"/>
      <w:r>
        <w:rPr>
          <w:rFonts w:ascii="Arial" w:hAnsi="Arial" w:cs="Arial"/>
          <w:color w:val="242424"/>
        </w:rPr>
        <w:t>ID_Centro_Costos</w:t>
      </w:r>
      <w:proofErr w:type="spellEnd"/>
      <w:r>
        <w:rPr>
          <w:rFonts w:ascii="Arial" w:hAnsi="Arial" w:cs="Arial"/>
          <w:color w:val="242424"/>
        </w:rPr>
        <w:t xml:space="preserve"> y </w:t>
      </w:r>
      <w:proofErr w:type="spellStart"/>
      <w:r>
        <w:rPr>
          <w:rFonts w:ascii="Arial" w:hAnsi="Arial" w:cs="Arial"/>
          <w:color w:val="242424"/>
        </w:rPr>
        <w:t>Cuenta_Contable</w:t>
      </w:r>
      <w:proofErr w:type="spellEnd"/>
      <w:r>
        <w:rPr>
          <w:rFonts w:ascii="Arial" w:hAnsi="Arial" w:cs="Arial"/>
          <w:color w:val="242424"/>
        </w:rPr>
        <w:t>, generando el archivo espejo para el asiento centralizador que Contabilidad revisará antes de subirlo al libro diario y contrastarlo con el SIRE.</w:t>
      </w:r>
    </w:p>
    <w:p w14:paraId="18F1FD8E" w14:textId="77777777" w:rsidR="00AD2A26" w:rsidRDefault="00AD2A26"/>
    <w:sectPr w:rsidR="00AD2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00A6"/>
    <w:multiLevelType w:val="multilevel"/>
    <w:tmpl w:val="0A94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675E6"/>
    <w:multiLevelType w:val="multilevel"/>
    <w:tmpl w:val="7DA0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9A5500"/>
    <w:multiLevelType w:val="multilevel"/>
    <w:tmpl w:val="30DC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6C4CA7"/>
    <w:multiLevelType w:val="multilevel"/>
    <w:tmpl w:val="BD86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A42A8B"/>
    <w:multiLevelType w:val="multilevel"/>
    <w:tmpl w:val="A9BA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B15F38"/>
    <w:multiLevelType w:val="multilevel"/>
    <w:tmpl w:val="4B80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EF1429"/>
    <w:multiLevelType w:val="multilevel"/>
    <w:tmpl w:val="3E2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741741"/>
    <w:multiLevelType w:val="multilevel"/>
    <w:tmpl w:val="9D1E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082A44"/>
    <w:multiLevelType w:val="multilevel"/>
    <w:tmpl w:val="41B4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26"/>
    <w:rsid w:val="001A0427"/>
    <w:rsid w:val="00AD2A26"/>
    <w:rsid w:val="00BB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4BF48"/>
  <w15:chartTrackingRefBased/>
  <w15:docId w15:val="{BE2036C1-D444-4677-85D6-1453D1EE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customStyle="1" w:styleId="xxmsonormal">
    <w:name w:val="x_x_msonormal"/>
    <w:basedOn w:val="Normal"/>
    <w:rsid w:val="00AD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566919">
          <w:marLeft w:val="30"/>
          <w:marRight w:val="28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8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34797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9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1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8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0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13753">
                                      <w:marLeft w:val="30"/>
                                      <w:marRight w:val="30"/>
                                      <w:marTop w:val="0"/>
                                      <w:marBottom w:val="120"/>
                                      <w:divBdr>
                                        <w:top w:val="single" w:sz="2" w:space="0" w:color="EBEBEB"/>
                                        <w:left w:val="single" w:sz="6" w:space="0" w:color="EBEBEB"/>
                                        <w:bottom w:val="single" w:sz="6" w:space="0" w:color="EBEBEB"/>
                                        <w:right w:val="single" w:sz="6" w:space="0" w:color="EBEBEB"/>
                                      </w:divBdr>
                                      <w:divsChild>
                                        <w:div w:id="79587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10925">
                                              <w:marLeft w:val="6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56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8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6" w:space="12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532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43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295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815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879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953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17611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412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56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26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3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91175">
                                          <w:marLeft w:val="30"/>
                                          <w:marRight w:val="30"/>
                                          <w:marTop w:val="3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58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1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2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09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189129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366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7449593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0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970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185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2086637">
                                                  <w:marLeft w:val="7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1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10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17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435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413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344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361698">
                                                  <w:marLeft w:val="780"/>
                                                  <w:marRight w:val="240"/>
                                                  <w:marTop w:val="18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7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47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17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732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16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77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966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Pravin</dc:creator>
  <cp:keywords/>
  <dc:description/>
  <cp:lastModifiedBy>Darshan Pravin</cp:lastModifiedBy>
  <cp:revision>1</cp:revision>
  <dcterms:created xsi:type="dcterms:W3CDTF">2026-07-08T15:40:00Z</dcterms:created>
  <dcterms:modified xsi:type="dcterms:W3CDTF">2026-07-08T16:20:00Z</dcterms:modified>
</cp:coreProperties>
</file>