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Calibri" w:hAnsi="Calibri"/>
          <w:b/>
          <w:i w:val="0"/>
          <w:color w:val="0B6E70"/>
          <w:sz w:val="17"/>
          <w:lang w:val="es-PE"/>
        </w:rPr>
        <w:t>GUÍA OPERATIVA DE TRES PÁGINAS</w:t>
      </w:r>
    </w:p>
    <w:p>
      <w:pPr>
        <w:pStyle w:val="Title"/>
      </w:pPr>
      <w:r>
        <w:rPr>
          <w:rFonts w:ascii="Calibri" w:hAnsi="Calibri"/>
          <w:b/>
          <w:i w:val="0"/>
          <w:color w:val="0B1F33"/>
          <w:sz w:val="50"/>
          <w:lang w:val="es-PE"/>
        </w:rPr>
        <w:t>Sistema ERP de Solicitudes Financieras y Control de Pagos</w:t>
      </w:r>
    </w:p>
    <w:p>
      <w:pPr>
        <w:pStyle w:val="Subtitle"/>
      </w:pPr>
      <w:r>
        <w:rPr>
          <w:rFonts w:ascii="Calibri" w:hAnsi="Calibri"/>
          <w:b w:val="0"/>
          <w:i w:val="0"/>
          <w:color w:val="5E6C7B"/>
          <w:sz w:val="25"/>
          <w:lang w:val="es-PE"/>
        </w:rPr>
        <w:t>Manual rápido de usuario</w:t>
      </w:r>
    </w:p>
    <w:p>
      <w:pPr>
        <w:spacing w:after="140"/>
      </w:pPr>
      <w:r>
        <w:rPr>
          <w:rFonts w:ascii="Calibri" w:hAnsi="Calibri"/>
          <w:b/>
          <w:i w:val="0"/>
          <w:color w:val="0B6E70"/>
          <w:sz w:val="17"/>
          <w:lang w:val="es-PE"/>
        </w:rPr>
        <w:t>Versión 1.0  |  Julio de 2026  |  Español / Inglés</w:t>
      </w:r>
    </w:p>
    <w:p>
      <w:pPr>
        <w:spacing w:before="60" w:after="120" w:line="252" w:lineRule="auto"/>
        <w:ind w:left="115" w:right="115"/>
        <w:shd w:fill="E8F5F4" w:val="clear"/>
        <w:pBdr>
          <w:top w:val="single" w:sz="8" w:space="7" w:color="0B6E70"/>
          <w:left w:val="single" w:sz="8" w:space="7" w:color="0B6E70"/>
          <w:bottom w:val="single" w:sz="8" w:space="7" w:color="0B6E70"/>
          <w:right w:val="single" w:sz="8" w:space="7" w:color="0B6E70"/>
        </w:pBdr>
      </w:pPr>
      <w:r>
        <w:rPr>
          <w:rFonts w:ascii="Calibri" w:hAnsi="Calibri"/>
          <w:b/>
          <w:i w:val="0"/>
          <w:color w:val="0B6E70"/>
          <w:sz w:val="18"/>
          <w:lang w:val="es-PE"/>
        </w:rPr>
        <w:t xml:space="preserve">Objetivo: </w:t>
      </w:r>
      <w:r>
        <w:rPr>
          <w:rFonts w:ascii="Calibri" w:hAnsi="Calibri"/>
          <w:b w:val="0"/>
          <w:i w:val="0"/>
          <w:color w:val="243447"/>
          <w:sz w:val="18"/>
          <w:lang w:val="es-PE"/>
        </w:rPr>
        <w:t>Crear, aprobar, pagar, contabilizar y cerrar solicitudes financieras con documentos, historial y permisos controlados.</w:t>
      </w:r>
    </w:p>
    <w:p>
      <w:pPr>
        <w:pStyle w:val="Heading1"/>
      </w:pPr>
      <w:r>
        <w:rPr>
          <w:lang w:val="es-PE"/>
        </w:rPr>
        <w:t>1. Acceso y navegación</w:t>
      </w:r>
    </w:p>
    <w:p>
      <w:pPr>
        <w:numPr>
          <w:ilvl w:val="0"/>
          <w:numId w:val="10"/>
        </w:numPr>
        <w:spacing w:line="259" w:lineRule="auto" w:after="6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Abre https://uma-financial-access.onrender.com y selecciona Abrir ERP. La página siempre muestra el enlace vigente de Cloudflare.</w:t>
      </w:r>
    </w:p>
    <w:p>
      <w:pPr>
        <w:numPr>
          <w:ilvl w:val="0"/>
          <w:numId w:val="10"/>
        </w:numPr>
        <w:spacing w:line="259" w:lineRule="auto" w:after="6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Inicia sesión con tu correo y contraseña corporativos. El sistema muestra solo los módulos permitidos para tu rol.</w:t>
      </w:r>
    </w:p>
    <w:p>
      <w:pPr>
        <w:numPr>
          <w:ilvl w:val="0"/>
          <w:numId w:val="10"/>
        </w:numPr>
        <w:spacing w:line="259" w:lineRule="auto" w:after="6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Usa la barra lateral para los módulos, la campana para tareas, EN/ES para el idioma y el menú de usuario para ver tu rol o salir.</w:t>
      </w:r>
    </w:p>
    <w:p>
      <w:pPr>
        <w:spacing w:before="40" w:after="0"/>
        <w:jc w:val="center"/>
      </w:pPr>
      <w:r>
        <w:rPr>
          <w:lang w:val="es-PE"/>
        </w:rPr>
        <w:drawing>
          <wp:inline xmlns:a="http://schemas.openxmlformats.org/drawingml/2006/main" xmlns:pic="http://schemas.openxmlformats.org/drawingml/2006/picture">
            <wp:extent cx="5715000" cy="3252807"/>
            <wp:docPr id="1" name="Picture 1" title="Panel de administración del ERP" descr="Panel con navegación por rol, indicadores, solicitudes recientes, alertas y distribución del fluj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-deskto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2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lang w:val="es-PE"/>
        </w:rPr>
        <w:t>El espacio de trabajo reúne navegación por rol, alertas, indicadores y tablas con búsqueda.</w:t>
      </w:r>
    </w:p>
    <w:p>
      <w:pPr>
        <w:pStyle w:val="Heading2"/>
      </w:pPr>
      <w:r>
        <w:rPr>
          <w:lang w:val="es-PE"/>
        </w:rPr>
        <w:t>Acceso por rol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1440"/>
        <w:gridCol w:w="3180"/>
        <w:gridCol w:w="4740"/>
      </w:tblGrid>
      <w:tr>
        <w:trPr>
          <w:tblHeader w:val="true"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Rol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Trabajo principal</w:t>
            </w:r>
          </w:p>
        </w:tc>
        <w:tc>
          <w:tcPr>
            <w:tcW w:type="dxa" w:w="4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Permisos importantes</w:t>
            </w:r>
          </w:p>
        </w:tc>
      </w:tr>
      <w:tr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6"/>
                <w:lang w:val="es-PE"/>
              </w:rPr>
              <w:t>Administrador</w:t>
            </w:r>
          </w:p>
        </w:tc>
        <w:tc>
          <w:tcPr>
            <w:tcW w:type="dxa" w:w="31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Todos los módulos y salud del sistema</w:t>
            </w:r>
          </w:p>
        </w:tc>
        <w:tc>
          <w:tcPr>
            <w:tcW w:type="dxa" w:w="47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Usuarios, datos maestros, solicitudes, aprobaciones, contabilidad y Tesorería</w:t>
            </w:r>
          </w:p>
        </w:tc>
      </w:tr>
      <w:tr>
        <w:tc>
          <w:tcPr>
            <w:tcW w:type="dxa" w:w="1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6"/>
                <w:lang w:val="es-PE"/>
              </w:rPr>
              <w:t>Solicitante</w:t>
            </w:r>
          </w:p>
        </w:tc>
        <w:tc>
          <w:tcPr>
            <w:tcW w:type="dxa" w:w="31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Solicitudes propias y rendiciones</w:t>
            </w:r>
          </w:p>
        </w:tc>
        <w:tc>
          <w:tcPr>
            <w:tcW w:type="dxa" w:w="47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Crear; editar/eliminar BORRADOR o RECHAZADO propios; ver proveedores</w:t>
            </w:r>
          </w:p>
        </w:tc>
      </w:tr>
      <w:tr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6"/>
                <w:lang w:val="es-PE"/>
              </w:rPr>
              <w:t>Aprobador</w:t>
            </w:r>
          </w:p>
        </w:tc>
        <w:tc>
          <w:tcPr>
            <w:tcW w:type="dxa" w:w="31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Bandeja de aprobaciones</w:t>
            </w:r>
          </w:p>
        </w:tc>
        <w:tc>
          <w:tcPr>
            <w:tcW w:type="dxa" w:w="47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Ver solicitudes no borrador; aprobar o rechazar con comentarios</w:t>
            </w:r>
          </w:p>
        </w:tc>
      </w:tr>
      <w:tr>
        <w:tc>
          <w:tcPr>
            <w:tcW w:type="dxa" w:w="1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6"/>
                <w:lang w:val="es-PE"/>
              </w:rPr>
              <w:t>Contabilidad</w:t>
            </w:r>
          </w:p>
        </w:tc>
        <w:tc>
          <w:tcPr>
            <w:tcW w:type="dxa" w:w="31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Asientos, periodos, SIRE y datos maestros</w:t>
            </w:r>
          </w:p>
        </w:tc>
        <w:tc>
          <w:tcPr>
            <w:tcW w:type="dxa" w:w="47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Mantener proveedores/tipos de cambio; cerrar solicitudes y periodos</w:t>
            </w:r>
          </w:p>
        </w:tc>
      </w:tr>
      <w:tr>
        <w:tc>
          <w:tcPr>
            <w:tcW w:type="dxa" w:w="1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6"/>
                <w:lang w:val="es-PE"/>
              </w:rPr>
              <w:t>Tesorería</w:t>
            </w:r>
          </w:p>
        </w:tc>
        <w:tc>
          <w:tcPr>
            <w:tcW w:type="dxa" w:w="31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Cola por pagar y archivos bancarios</w:t>
            </w:r>
          </w:p>
        </w:tc>
        <w:tc>
          <w:tcPr>
            <w:tcW w:type="dxa" w:w="47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6"/>
                <w:lang w:val="es-PE"/>
              </w:rPr>
              <w:t>Seleccionar pagos; generar/descargar TXT bancario; ver proveedores</w:t>
            </w:r>
          </w:p>
        </w:tc>
      </w:tr>
    </w:tbl>
    <w:p>
      <w:r>
        <w:rPr>
          <w:lang w:val="es-PE"/>
        </w:rP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0B6E70"/>
          <w:sz w:val="17"/>
          <w:lang w:val="es-PE"/>
        </w:rPr>
        <w:t>FLUJO PRINCIPAL</w:t>
      </w:r>
    </w:p>
    <w:p>
      <w:pPr>
        <w:pStyle w:val="Heading1"/>
      </w:pPr>
      <w:r>
        <w:rPr>
          <w:lang w:val="es-PE"/>
        </w:rPr>
        <w:t>2. Crear y enviar una solicitud</w:t>
      </w:r>
    </w:p>
    <w:p>
      <w:pPr>
        <w:spacing w:before="60" w:after="120" w:line="252" w:lineRule="auto"/>
        <w:ind w:left="115" w:right="115"/>
        <w:shd w:fill="EAF2F7" w:val="clear"/>
        <w:pBdr>
          <w:top w:val="single" w:sz="8" w:space="7" w:color="102A43"/>
          <w:left w:val="single" w:sz="8" w:space="7" w:color="102A43"/>
          <w:bottom w:val="single" w:sz="8" w:space="7" w:color="102A43"/>
          <w:right w:val="single" w:sz="8" w:space="7" w:color="102A43"/>
        </w:pBdr>
      </w:pPr>
      <w:r>
        <w:rPr>
          <w:rFonts w:ascii="Calibri" w:hAnsi="Calibri"/>
          <w:b/>
          <w:i w:val="0"/>
          <w:color w:val="102A43"/>
          <w:sz w:val="18"/>
          <w:lang w:val="es-PE"/>
        </w:rPr>
        <w:t xml:space="preserve">Quién puede crear: </w:t>
      </w:r>
      <w:r>
        <w:rPr>
          <w:rFonts w:ascii="Calibri" w:hAnsi="Calibri"/>
          <w:b w:val="0"/>
          <w:i w:val="0"/>
          <w:color w:val="243447"/>
          <w:sz w:val="18"/>
          <w:lang w:val="es-PE"/>
        </w:rPr>
        <w:t>Usuarios Administrador y Solicitante. El Solicitante ve solo sus solicitudes; el Administrador puede trabajar con todas.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  <w:lang w:val="es-PE"/>
        </w:rPr>
        <w:t>Información básica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Selecciona tipo de solicitud, fecha de emisión, periodo contable, moneda, proveedor y descripción.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No se pueden usar periodos contables cerrados.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Las solicitudes en USD requieren tipo de cambio para la fecha o periodo.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Una alerta de banco/CCI indica que Tesorería no podrá pagar hasta corregir al proveedor.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  <w:lang w:val="es-PE"/>
        </w:rPr>
        <w:t>Líneas contables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Elige centro de costos y cuenta de gasto por línea; ingresa Neto, IGV y Total.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Agregar línea crea otra distribución; el icono de papelera elimina una línea.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Los totales se actualizan solos. Corrige alertas de Neto + IGV frente al Total antes de enviar.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  <w:lang w:val="es-PE"/>
        </w:rPr>
        <w:t>Documentos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Adjunta factura y sustentos. Pago con Cotización y Reembolso con Sustento requieren XML y PDF.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El XML se valida contra el RUC/DNI del proveedor y los montos de la solicitud.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Cotizaciones y sustentos permiten adjuntar la evidencia adicional del negocio.</w:t>
      </w:r>
    </w:p>
    <w:p>
      <w:pPr>
        <w:keepNext/>
        <w:numPr>
          <w:ilvl w:val="0"/>
          <w:numId w:val="11"/>
        </w:numPr>
        <w:spacing w:before="80" w:after="40"/>
        <w:ind w:left="540" w:hanging="271"/>
      </w:pPr>
      <w:r>
        <w:rPr>
          <w:rFonts w:ascii="Calibri" w:hAnsi="Calibri"/>
          <w:b/>
          <w:i w:val="0"/>
          <w:color w:val="102A43"/>
          <w:sz w:val="21"/>
          <w:lang w:val="es-PE"/>
        </w:rPr>
        <w:t>Revisar y enviar</w:t>
      </w:r>
    </w:p>
    <w:p>
      <w:pPr>
        <w:spacing w:after="4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Revisa el resumen. Usa Editar o Atrás sin perder datos, Guardar borrador para mantener BORRADOR o Enviar a aprobación.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El formulario se guarda localmente mientras trabajas.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El propietario o Administrador puede editar o eliminar solicitudes BORRADOR y RECHAZADO.</w:t>
      </w:r>
    </w:p>
    <w:p>
      <w:pPr>
        <w:pStyle w:val="Heading2"/>
      </w:pPr>
      <w:r>
        <w:rPr>
          <w:lang w:val="es-PE"/>
        </w:rPr>
        <w:t>Qué sucede después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440"/>
        <w:gridCol w:w="3280"/>
        <w:gridCol w:w="3640"/>
      </w:tblGrid>
      <w:tr>
        <w:trPr>
          <w:tblHeader w:val="true"/>
        </w:trPr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Estado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Significado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Siguiente acción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5"/>
                <w:lang w:val="es-PE"/>
              </w:rPr>
              <w:t>BORRADOR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Guardada, todavía no enviada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El propietario edita, envía o elimina</w:t>
            </w:r>
          </w:p>
        </w:tc>
      </w:tr>
      <w:tr>
        <w:tc>
          <w:tcPr>
            <w:tcW w:type="dxa" w:w="2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5"/>
                <w:lang w:val="es-PE"/>
              </w:rPr>
              <w:t>PENDIENTE_APROBACION</w:t>
            </w:r>
          </w:p>
        </w:tc>
        <w:tc>
          <w:tcPr>
            <w:tcW w:type="dxa" w:w="32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En espera de decisión</w:t>
            </w:r>
          </w:p>
        </w:tc>
        <w:tc>
          <w:tcPr>
            <w:tcW w:type="dxa" w:w="36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El Aprobador revisa detalles, XML, adjuntos e historial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5"/>
                <w:lang w:val="es-PE"/>
              </w:rPr>
              <w:t>RECHAZADO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Devuelta para corrección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El propietario lee el comentario, corrige y reenvía</w:t>
            </w:r>
          </w:p>
        </w:tc>
      </w:tr>
      <w:tr>
        <w:tc>
          <w:tcPr>
            <w:tcW w:type="dxa" w:w="2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5"/>
                <w:lang w:val="es-PE"/>
              </w:rPr>
              <w:t>APROBADO_POR_PAGAR</w:t>
            </w:r>
          </w:p>
        </w:tc>
        <w:tc>
          <w:tcPr>
            <w:tcW w:type="dxa" w:w="32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Aprobada y en la cola de Tesorería</w:t>
            </w:r>
          </w:p>
        </w:tc>
        <w:tc>
          <w:tcPr>
            <w:tcW w:type="dxa" w:w="36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Tesorería verifica banco/CCI y selecciona el pago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5"/>
                <w:lang w:val="es-PE"/>
              </w:rPr>
              <w:t>PROCESADO_BANCO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TXT bancario generado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Contabilidad revisa asientos y cierra al completar</w:t>
            </w:r>
          </w:p>
        </w:tc>
      </w:tr>
      <w:tr>
        <w:tc>
          <w:tcPr>
            <w:tcW w:type="dxa" w:w="24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5"/>
                <w:lang w:val="es-PE"/>
              </w:rPr>
              <w:t>RENDICION_PENDIENTE</w:t>
            </w:r>
          </w:p>
        </w:tc>
        <w:tc>
          <w:tcPr>
            <w:tcW w:type="dxa" w:w="328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Adelanto pagado; falta la rendición</w:t>
            </w:r>
          </w:p>
        </w:tc>
        <w:tc>
          <w:tcPr>
            <w:tcW w:type="dxa" w:w="36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Propietario/Contabilidad carga documentos de rendición</w:t>
            </w:r>
          </w:p>
        </w:tc>
      </w:tr>
      <w:tr>
        <w:tc>
          <w:tcPr>
            <w:tcW w:type="dxa" w:w="24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5"/>
                <w:lang w:val="es-PE"/>
              </w:rPr>
              <w:t>LIQUIDADO_CERRADO</w:t>
            </w:r>
          </w:p>
        </w:tc>
        <w:tc>
          <w:tcPr>
            <w:tcW w:type="dxa" w:w="328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Flujo completado</w:t>
            </w:r>
          </w:p>
        </w:tc>
        <w:tc>
          <w:tcPr>
            <w:tcW w:type="dxa" w:w="36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5"/>
                <w:lang w:val="es-PE"/>
              </w:rPr>
              <w:t>Registro e historial en modo lectura</w:t>
            </w:r>
          </w:p>
        </w:tc>
      </w:tr>
    </w:tbl>
    <w:p>
      <w:pPr>
        <w:spacing w:after="0" w:before="80"/>
      </w:pPr>
      <w:r>
        <w:rPr>
          <w:rFonts w:ascii="Calibri" w:hAnsi="Calibri"/>
          <w:b w:val="0"/>
          <w:i w:val="0"/>
          <w:color w:val="5E6C7B"/>
          <w:sz w:val="17"/>
          <w:lang w:val="es-PE"/>
        </w:rPr>
        <w:t>La aprobación crea asientos de provisión. El archivo bancario cambia estados y crea asientos de pago; el sistema muestra estos efectos antes de confirmar.</w:t>
      </w:r>
    </w:p>
    <w:p>
      <w:r>
        <w:rPr>
          <w:lang w:val="es-PE"/>
        </w:rPr>
        <w:br w:type="page"/>
      </w:r>
    </w:p>
    <w:p>
      <w:pPr>
        <w:spacing w:before="40" w:after="40"/>
      </w:pPr>
      <w:r>
        <w:rPr>
          <w:rFonts w:ascii="Calibri" w:hAnsi="Calibri"/>
          <w:b/>
          <w:i w:val="0"/>
          <w:color w:val="0B6E70"/>
          <w:sz w:val="17"/>
          <w:lang w:val="es-PE"/>
        </w:rPr>
        <w:t>OPERACIÓN DIARIA</w:t>
      </w:r>
    </w:p>
    <w:p>
      <w:pPr>
        <w:pStyle w:val="Heading1"/>
      </w:pPr>
      <w:r>
        <w:rPr>
          <w:lang w:val="es-PE"/>
        </w:rPr>
        <w:t>3. Procesar, controlar y dar soporte</w:t>
      </w:r>
    </w:p>
    <w:p>
      <w:pPr>
        <w:pStyle w:val="Heading2"/>
      </w:pPr>
      <w:r>
        <w:rPr>
          <w:lang w:val="es-PE"/>
        </w:rPr>
        <w:t>Aprobador</w:t>
      </w:r>
    </w:p>
    <w:p>
      <w:pPr>
        <w:spacing w:after="6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Abre Bandeja de aprobaciones, revisa las solicitudes más antiguas y sus montos. Aprobar mueve a APROBADO_POR_PAGAR. Rechazar exige comentario y devuelve al Solicitante.</w:t>
      </w:r>
    </w:p>
    <w:p>
      <w:pPr>
        <w:pStyle w:val="Heading2"/>
      </w:pPr>
      <w:r>
        <w:rPr>
          <w:lang w:val="es-PE"/>
        </w:rPr>
        <w:t>Tesorería</w:t>
      </w:r>
    </w:p>
    <w:p>
      <w:pPr>
        <w:spacing w:after="6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En Cola de pagos de Tesorería, selecciona filas listas, revisa totales PEN/USD y corrige alertas de banco/CCI. Usa Revisar archivo bancario, confirma, genera el TXT y descarga archivos anteriores desde el historial.</w:t>
      </w:r>
    </w:p>
    <w:p>
      <w:pPr>
        <w:pStyle w:val="Heading2"/>
      </w:pPr>
      <w:r>
        <w:rPr>
          <w:lang w:val="es-PE"/>
        </w:rPr>
        <w:t>Contabilidad y SIRE</w:t>
      </w:r>
    </w:p>
    <w:p>
      <w:pPr>
        <w:spacing w:after="6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En Asientos contables, carga un periodo, compara Debe/Haber, revisa la consolidación y exporta CSV. En SIRE valida compras con XML. Un periodo cerrado bloquea cambios del flujo y contables.</w:t>
      </w:r>
    </w:p>
    <w:p>
      <w:pPr>
        <w:pStyle w:val="Heading2"/>
      </w:pPr>
      <w:r>
        <w:rPr>
          <w:lang w:val="es-PE"/>
        </w:rPr>
        <w:t>Datos maestros y administración</w:t>
      </w:r>
    </w:p>
    <w:p>
      <w:pPr>
        <w:spacing w:after="100"/>
      </w:pPr>
      <w:r>
        <w:rPr>
          <w:rFonts w:ascii="Calibri" w:hAnsi="Calibri"/>
          <w:b w:val="0"/>
          <w:i w:val="0"/>
          <w:color w:val="243447"/>
          <w:sz w:val="18"/>
          <w:lang w:val="es-PE"/>
        </w:rPr>
        <w:t>Administrador/Contabilidad mantiene proveedores, centros de costos, tipos de gasto, tipos de cambio y periodos. Obtener último tipo de cambio en línea carga el valor USD/PEN en un formulario editable. El Administrador gestiona usuarios. Desactivar conserva historial; eliminar es irreversible.</w:t>
      </w:r>
    </w:p>
    <w:p>
      <w:pPr>
        <w:pStyle w:val="Heading2"/>
      </w:pPr>
      <w:r>
        <w:rPr>
          <w:lang w:val="es-PE"/>
        </w:rPr>
        <w:t>Controles comunes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1E8"/>
          <w:left w:val="single" w:sz="6" w:space="0" w:color="D9E1E8"/>
          <w:bottom w:val="single" w:sz="6" w:space="0" w:color="D9E1E8"/>
          <w:right w:val="single" w:sz="6" w:space="0" w:color="D9E1E8"/>
          <w:insideH w:val="single" w:sz="6" w:space="0" w:color="D9E1E8"/>
          <w:insideV w:val="single" w:sz="6" w:space="0" w:color="D9E1E8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Control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02A43" w:val="clea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FFFFFF"/>
                <w:sz w:val="17"/>
                <w:lang w:val="es-PE"/>
              </w:rPr>
              <w:t>Uso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Buscar / filtrar / ordenar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Buscar registros, filtrar estado o moneda y ordenar columnas.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Limpiar filtros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Volver a mostrar todos los resultados.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Casillas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Seleccionar una fila o todas las visibles para acciones masivas.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Menú de tres puntos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Abrir acciones: Ver, Editar, Descargar, Desactivar o Eliminar.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Actualizar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Recargar los últimos datos del panel, cola, tipo de cambio o tabla.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Icono Descargar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Abrir o descargar adjuntos, TXT bancario, consolidación o SIRE.</w:t>
            </w:r>
          </w:p>
        </w:tc>
      </w:tr>
      <w:tr>
        <w:tc>
          <w:tcPr>
            <w:tcW w:type="dxa" w:w="252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Atrás / Continuar / Editar</w:t>
            </w:r>
          </w:p>
        </w:tc>
        <w:tc>
          <w:tcPr>
            <w:tcW w:type="dxa" w:w="6840"/>
            <w:shd w:fill="FFFFF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Moverse por el asistente sin perder la información completada.</w:t>
            </w:r>
          </w:p>
        </w:tc>
      </w:tr>
      <w:tr>
        <w:tc>
          <w:tcPr>
            <w:tcW w:type="dxa" w:w="252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/>
                <w:i w:val="0"/>
                <w:color w:val="243447"/>
                <w:sz w:val="17"/>
                <w:lang w:val="es-PE"/>
              </w:rPr>
              <w:t>Guardar borrador / Enviar</w:t>
            </w:r>
          </w:p>
        </w:tc>
        <w:tc>
          <w:tcPr>
            <w:tcW w:type="dxa" w:w="6840"/>
            <w:shd w:fill="F5F7F9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lang w:val="es-PE"/>
              </w:rPr>
            </w:r>
            <w:r>
              <w:rPr>
                <w:rFonts w:ascii="Calibri" w:hAnsi="Calibri"/>
                <w:b w:val="0"/>
                <w:i w:val="0"/>
                <w:color w:val="243447"/>
                <w:sz w:val="17"/>
                <w:lang w:val="es-PE"/>
              </w:rPr>
              <w:t>Guardar trabajo editable o enviar una solicitud validada a aprobación.</w:t>
            </w:r>
          </w:p>
        </w:tc>
      </w:tr>
    </w:tbl>
    <w:p>
      <w:pPr>
        <w:pStyle w:val="Heading2"/>
      </w:pPr>
      <w:r>
        <w:rPr>
          <w:lang w:val="es-PE"/>
        </w:rPr>
        <w:t>Reglas importantes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Lee cada confirmación: indica el resultado exacto de estado, contabilidad o eliminación.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Los botones deshabilitados explican la causa; corrige documento, banco, selección, estado o periodo.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Si los datos parecen antiguos, pulsa Actualizar. Si no tienes acceso, confirma tu rol con el Administrador.</w:t>
      </w:r>
    </w:p>
    <w:p>
      <w:pPr>
        <w:pStyle w:val="ListBullet"/>
        <w:spacing w:after="4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El ERP compartido requiere encendidos el PC anfitrión, MongoDB, el servidor ERP y el túnel Cloudflare.</w:t>
      </w:r>
    </w:p>
    <w:p>
      <w:pPr>
        <w:pStyle w:val="ListBullet"/>
        <w:spacing w:after="0"/>
        <w:ind w:left="540" w:hanging="271"/>
      </w:pPr>
      <w:r>
        <w:rPr>
          <w:rFonts w:ascii="Calibri" w:hAnsi="Calibri"/>
          <w:b w:val="0"/>
          <w:i w:val="0"/>
          <w:color w:val="243447"/>
          <w:sz w:val="19"/>
          <w:lang w:val="es-PE"/>
        </w:rPr>
        <w:t>Usa solo cuentas autorizadas. No compartas contraseñas ni archivos financieros fuera de canales aprobados.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right"/>
      <w:pBdr>
        <w:bottom w:val="single" w:sz="6" w:space="4" w:color="D9E1E8"/>
      </w:pBdr>
    </w:pPr>
    <w:r>
      <w:rPr>
        <w:rFonts w:ascii="Calibri" w:hAnsi="Calibri"/>
        <w:b w:val="0"/>
        <w:i w:val="0"/>
        <w:color w:val="5E6C7B"/>
        <w:sz w:val="16"/>
        <w:lang w:val="es-PE"/>
      </w:rPr>
      <w:t xml:space="preserve">Guía operativa interna  |  Página </w:t>
    </w:r>
    <w:r>
      <w:rPr>
        <w:rFonts w:ascii="Calibri" w:hAnsi="Calibri"/>
        <w:b w:val="0"/>
        <w:i w:val="0"/>
        <w:color w:val="5E6C7B"/>
        <w:sz w:val="17"/>
        <w:lang w:val="es-PE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5E6C7B"/>
        <w:sz w:val="16"/>
        <w:lang w:val="es-PE"/>
      </w:rPr>
      <w:t xml:space="preserve"> de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6" w:space="4" w:color="D9E1E8"/>
      </w:pBdr>
    </w:pPr>
    <w:r>
      <w:rPr>
        <w:rFonts w:ascii="Calibri" w:hAnsi="Calibri"/>
        <w:b/>
        <w:i w:val="0"/>
        <w:color w:val="102A43"/>
        <w:sz w:val="17"/>
        <w:lang w:val="es-PE"/>
      </w:rPr>
      <w:t>CONTROL FINANCIERO</w:t>
    </w:r>
    <w:r>
      <w:rPr>
        <w:rFonts w:ascii="Calibri" w:hAnsi="Calibri"/>
        <w:b/>
        <w:i w:val="0"/>
        <w:color w:val="0F8B8D"/>
        <w:sz w:val="17"/>
        <w:lang w:val="es-PE"/>
      </w:rPr>
      <w:t xml:space="preserve">  |  </w:t>
    </w:r>
    <w:r>
      <w:rPr>
        <w:rFonts w:ascii="Calibri" w:hAnsi="Calibri"/>
        <w:b/>
        <w:i w:val="0"/>
        <w:color w:val="5E6C7B"/>
        <w:sz w:val="17"/>
        <w:lang w:val="es-PE"/>
      </w:rPr>
      <w:t>MANUAL RÁPIDO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243447"/>
      <w:sz w:val="20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s-P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P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s-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1"/>
      <w:szCs w:val="28"/>
      <w:lang w:val="es-P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6E70"/>
      <w:sz w:val="24"/>
      <w:szCs w:val="26"/>
      <w:lang w:val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02A43"/>
      <w:sz w:val="21"/>
      <w:lang w:val="es-P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P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P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P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P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P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PE"/>
    </w:rPr>
  </w:style>
  <w:style w:type="character" w:default="1" w:styleId="DefaultParagraphFont">
    <w:name w:val="Default Paragraph Font"/>
    <w:uiPriority w:val="1"/>
    <w:semiHidden/>
    <w:unhideWhenUsed/>
    <w:rPr>
      <w:lang w:val="es-PE"/>
    </w:rPr>
  </w:style>
  <w:style w:type="table" w:default="1" w:styleId="TableNormal">
    <w:name w:val="Normal Table"/>
    <w:uiPriority w:val="99"/>
    <w:semiHidden/>
    <w:unhideWhenUsed/>
    <w:rPr>
      <w:lang w:val="es-P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es-PE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P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P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P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s-P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1F33"/>
      <w:spacing w:val="5"/>
      <w:kern w:val="28"/>
      <w:sz w:val="50"/>
      <w:szCs w:val="52"/>
      <w:lang w:val="es-P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P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5E6C7B"/>
      <w:spacing w:val="15"/>
      <w:sz w:val="25"/>
      <w:szCs w:val="24"/>
      <w:lang w:val="es-P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P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P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P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s-P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P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s-P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P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s-P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P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P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P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0" w:hanging="271"/>
      <w:contextualSpacing/>
    </w:pPr>
    <w:rPr>
      <w:rFonts w:ascii="Calibri" w:hAnsi="Calibri"/>
      <w:sz w:val="19"/>
      <w:lang w:val="es-P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P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P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0" w:hanging="271"/>
      <w:contextualSpacing/>
    </w:pPr>
    <w:rPr>
      <w:rFonts w:ascii="Calibri" w:hAnsi="Calibri"/>
      <w:sz w:val="19"/>
      <w:lang w:val="es-P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P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P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P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P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P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P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s-P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P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s-P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s-P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s-P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s-P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s-P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s-P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P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00"/>
    </w:pPr>
    <w:rPr>
      <w:rFonts w:ascii="Calibri" w:hAnsi="Calibri"/>
      <w:b/>
      <w:bCs/>
      <w:i/>
      <w:color w:val="5E6C7B"/>
      <w:sz w:val="16"/>
      <w:szCs w:val="18"/>
      <w:lang w:val="es-PE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s-PE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s-P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P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s-PE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s-PE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s-PE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s-P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s-P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s-P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P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es-P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es-P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es-P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es-P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es-P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es-P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es-P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es-P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es-PE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es-PE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ERP de Solicitudes Financieras y Control de Pagos - Manual rápido</dc:title>
  <dc:subject>Guía operativa de tres páginas</dc:subject>
  <dc:creator>Operaciones Financieras</dc:creator>
  <cp:keywords>ERP, solicitudes financieras, aprobaciones, tesorería, contabilidad, manual</cp:keywords>
  <dc:description>Edición breve en español.</dc:description>
  <cp:lastModifiedBy/>
  <cp:revision>1</cp:revision>
  <dcterms:created xsi:type="dcterms:W3CDTF">2013-12-23T23:15:00Z</dcterms:created>
  <dcterms:modified xsi:type="dcterms:W3CDTF">2013-12-23T23:15:00Z</dcterms:modified>
  <cp:category/>
  <dc:language>es-PE</dc:language>
</cp:coreProperties>
</file>