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Calibri" w:hAnsi="Calibri"/>
          <w:b/>
          <w:i w:val="0"/>
          <w:color w:val="0B6E70"/>
          <w:sz w:val="17"/>
        </w:rPr>
        <w:t>THREE-PAGE OPERATIONAL GUIDE</w:t>
      </w:r>
    </w:p>
    <w:p>
      <w:pPr>
        <w:pStyle w:val="Title"/>
      </w:pPr>
      <w:r>
        <w:rPr>
          <w:rFonts w:ascii="Calibri" w:hAnsi="Calibri"/>
          <w:b/>
          <w:i w:val="0"/>
          <w:color w:val="0B1F33"/>
          <w:sz w:val="50"/>
        </w:rPr>
        <w:t>ERP Financial Request &amp; Payment Control System</w:t>
      </w:r>
    </w:p>
    <w:p>
      <w:pPr>
        <w:pStyle w:val="Subtitle"/>
      </w:pPr>
      <w:r>
        <w:rPr>
          <w:rFonts w:ascii="Calibri" w:hAnsi="Calibri"/>
          <w:b w:val="0"/>
          <w:i w:val="0"/>
          <w:color w:val="5E6C7B"/>
          <w:sz w:val="25"/>
        </w:rPr>
        <w:t>Quick User Manual</w:t>
      </w:r>
    </w:p>
    <w:p>
      <w:pPr>
        <w:spacing w:after="140"/>
      </w:pPr>
      <w:r>
        <w:rPr>
          <w:rFonts w:ascii="Calibri" w:hAnsi="Calibri"/>
          <w:b/>
          <w:i w:val="0"/>
          <w:color w:val="0B6E70"/>
          <w:sz w:val="17"/>
        </w:rPr>
        <w:t>Version 1.0  |  July 2026  |  English / Spanish</w:t>
      </w:r>
    </w:p>
    <w:p>
      <w:pPr>
        <w:spacing w:before="60" w:after="120" w:line="252" w:lineRule="auto"/>
        <w:ind w:left="115" w:right="115"/>
        <w:shd w:fill="E8F5F4" w:val="clear"/>
        <w:pBdr>
          <w:top w:val="single" w:sz="8" w:space="7" w:color="0B6E70"/>
          <w:left w:val="single" w:sz="8" w:space="7" w:color="0B6E70"/>
          <w:bottom w:val="single" w:sz="8" w:space="7" w:color="0B6E70"/>
          <w:right w:val="single" w:sz="8" w:space="7" w:color="0B6E70"/>
        </w:pBdr>
      </w:pPr>
      <w:r>
        <w:rPr>
          <w:rFonts w:ascii="Calibri" w:hAnsi="Calibri"/>
          <w:b/>
          <w:i w:val="0"/>
          <w:color w:val="0B6E70"/>
          <w:sz w:val="18"/>
        </w:rPr>
        <w:t xml:space="preserve">Purpose: </w:t>
      </w:r>
      <w:r>
        <w:rPr>
          <w:rFonts w:ascii="Calibri" w:hAnsi="Calibri"/>
          <w:b w:val="0"/>
          <w:i w:val="0"/>
          <w:color w:val="243447"/>
          <w:sz w:val="18"/>
        </w:rPr>
        <w:t>Create, approve, pay, account for, and close financial requests while keeping documents, status history, and role permissions controlled.</w:t>
      </w:r>
    </w:p>
    <w:p>
      <w:pPr>
        <w:pStyle w:val="Heading1"/>
      </w:pPr>
      <w:r>
        <w:t>1. Access and navigation</w:t>
      </w:r>
    </w:p>
    <w:p>
      <w:pPr>
        <w:numPr>
          <w:ilvl w:val="0"/>
          <w:numId w:val="10"/>
        </w:numPr>
        <w:spacing w:line="259" w:lineRule="auto" w:after="6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Open https://uma-financial-access.onrender.com and select Open ERP. The access page always shows the latest Cloudflare link.</w:t>
      </w:r>
    </w:p>
    <w:p>
      <w:pPr>
        <w:numPr>
          <w:ilvl w:val="0"/>
          <w:numId w:val="10"/>
        </w:numPr>
        <w:spacing w:line="259" w:lineRule="auto" w:after="6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Sign in with your assigned company email and password. The system shows only the modules permitted for your role.</w:t>
      </w:r>
    </w:p>
    <w:p>
      <w:pPr>
        <w:numPr>
          <w:ilvl w:val="0"/>
          <w:numId w:val="10"/>
        </w:numPr>
        <w:spacing w:line="259" w:lineRule="auto" w:after="6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Use the left sidebar for modules, the bell for pending tasks, EN/ES for language, and the user menu to view your role or log out.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1" name="Picture 1" title="ERP admin dashboard" descr="Dashboard with grouped navigation, role metrics, recent requests, task notifications, and workflow distribu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-deskto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The workspace combines role-based navigation, task alerts, metrics, and searchable tables.</w:t>
      </w:r>
    </w:p>
    <w:p>
      <w:pPr>
        <w:pStyle w:val="Heading2"/>
      </w:pPr>
      <w:r>
        <w:t>Role access at a glance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440"/>
        <w:gridCol w:w="3180"/>
        <w:gridCol w:w="474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Main work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Important permissions</w:t>
            </w:r>
          </w:p>
        </w:tc>
      </w:tr>
      <w:tr>
        <w:tc>
          <w:tcPr>
            <w:tcW w:type="dxa" w:w="1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6"/>
              </w:rPr>
              <w:t>Admin</w:t>
            </w:r>
          </w:p>
        </w:tc>
        <w:tc>
          <w:tcPr>
            <w:tcW w:type="dxa" w:w="31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All modules and system health</w:t>
            </w:r>
          </w:p>
        </w:tc>
        <w:tc>
          <w:tcPr>
            <w:tcW w:type="dxa" w:w="47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Users, master data, requests, approvals, accounting, Treasury</w:t>
            </w:r>
          </w:p>
        </w:tc>
      </w:tr>
      <w:tr>
        <w:tc>
          <w:tcPr>
            <w:tcW w:type="dxa" w:w="14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6"/>
              </w:rPr>
              <w:t>Solicitor</w:t>
            </w:r>
          </w:p>
        </w:tc>
        <w:tc>
          <w:tcPr>
            <w:tcW w:type="dxa" w:w="318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Own requests and renditions</w:t>
            </w:r>
          </w:p>
        </w:tc>
        <w:tc>
          <w:tcPr>
            <w:tcW w:type="dxa" w:w="47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Create; edit/delete own BORRADOR or RECHAZADO; supplier view</w:t>
            </w:r>
          </w:p>
        </w:tc>
      </w:tr>
      <w:tr>
        <w:tc>
          <w:tcPr>
            <w:tcW w:type="dxa" w:w="1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6"/>
              </w:rPr>
              <w:t>Approver</w:t>
            </w:r>
          </w:p>
        </w:tc>
        <w:tc>
          <w:tcPr>
            <w:tcW w:type="dxa" w:w="31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Approval Inbox</w:t>
            </w:r>
          </w:p>
        </w:tc>
        <w:tc>
          <w:tcPr>
            <w:tcW w:type="dxa" w:w="47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View non-draft requests; approve or reject with comments</w:t>
            </w:r>
          </w:p>
        </w:tc>
      </w:tr>
      <w:tr>
        <w:tc>
          <w:tcPr>
            <w:tcW w:type="dxa" w:w="14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6"/>
              </w:rPr>
              <w:t>Accounting</w:t>
            </w:r>
          </w:p>
        </w:tc>
        <w:tc>
          <w:tcPr>
            <w:tcW w:type="dxa" w:w="318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Entries, periods, SIRE, master data</w:t>
            </w:r>
          </w:p>
        </w:tc>
        <w:tc>
          <w:tcPr>
            <w:tcW w:type="dxa" w:w="47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Maintain suppliers/rates; close eligible requests and periods</w:t>
            </w:r>
          </w:p>
        </w:tc>
      </w:tr>
      <w:tr>
        <w:tc>
          <w:tcPr>
            <w:tcW w:type="dxa" w:w="1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6"/>
              </w:rPr>
              <w:t>Treasury</w:t>
            </w:r>
          </w:p>
        </w:tc>
        <w:tc>
          <w:tcPr>
            <w:tcW w:type="dxa" w:w="31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Payable queue and bank files</w:t>
            </w:r>
          </w:p>
        </w:tc>
        <w:tc>
          <w:tcPr>
            <w:tcW w:type="dxa" w:w="47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Select payable requests; generate/download bank TXT; supplier view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0B6E70"/>
          <w:sz w:val="17"/>
        </w:rPr>
        <w:t>CORE WORKFLOW</w:t>
      </w:r>
    </w:p>
    <w:p>
      <w:pPr>
        <w:pStyle w:val="Heading1"/>
      </w:pPr>
      <w:r>
        <w:t>2. Create and submit a request</w:t>
      </w:r>
    </w:p>
    <w:p>
      <w:pPr>
        <w:spacing w:before="60" w:after="120" w:line="252" w:lineRule="auto"/>
        <w:ind w:left="115" w:right="115"/>
        <w:shd w:fill="EAF2F7" w:val="clear"/>
        <w:pBdr>
          <w:top w:val="single" w:sz="8" w:space="7" w:color="102A43"/>
          <w:left w:val="single" w:sz="8" w:space="7" w:color="102A43"/>
          <w:bottom w:val="single" w:sz="8" w:space="7" w:color="102A43"/>
          <w:right w:val="single" w:sz="8" w:space="7" w:color="102A43"/>
        </w:pBdr>
      </w:pPr>
      <w:r>
        <w:rPr>
          <w:rFonts w:ascii="Calibri" w:hAnsi="Calibri"/>
          <w:b/>
          <w:i w:val="0"/>
          <w:color w:val="102A43"/>
          <w:sz w:val="18"/>
        </w:rPr>
        <w:t xml:space="preserve">Who can create: </w:t>
      </w:r>
      <w:r>
        <w:rPr>
          <w:rFonts w:ascii="Calibri" w:hAnsi="Calibri"/>
          <w:b w:val="0"/>
          <w:i w:val="0"/>
          <w:color w:val="243447"/>
          <w:sz w:val="18"/>
        </w:rPr>
        <w:t>Admin and Solicitor users. A Solicitor sees only their own requests; an Admin can work across requests.</w:t>
      </w:r>
    </w:p>
    <w:p>
      <w:pPr>
        <w:keepNext/>
        <w:numPr>
          <w:ilvl w:val="0"/>
          <w:numId w:val="11"/>
        </w:numPr>
        <w:spacing w:before="80" w:after="40"/>
        <w:ind w:left="540" w:hanging="271"/>
      </w:pPr>
      <w:r>
        <w:rPr>
          <w:rFonts w:ascii="Calibri" w:hAnsi="Calibri"/>
          <w:b/>
          <w:i w:val="0"/>
          <w:color w:val="102A43"/>
          <w:sz w:val="21"/>
        </w:rPr>
        <w:t>Basic information</w:t>
      </w:r>
    </w:p>
    <w:p>
      <w:pPr>
        <w:spacing w:after="40"/>
      </w:pPr>
      <w:r>
        <w:rPr>
          <w:rFonts w:ascii="Calibri" w:hAnsi="Calibri"/>
          <w:b w:val="0"/>
          <w:i w:val="0"/>
          <w:color w:val="243447"/>
          <w:sz w:val="18"/>
        </w:rPr>
        <w:t>Select the request type, issue date, accounting period, currency, supplier, and business description.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Closed accounting periods cannot be used.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USD requests require an exchange rate for the date or period.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A bank/CCI warning means Treasury cannot pay until supplier details are corrected.</w:t>
      </w:r>
    </w:p>
    <w:p>
      <w:pPr>
        <w:keepNext/>
        <w:numPr>
          <w:ilvl w:val="0"/>
          <w:numId w:val="11"/>
        </w:numPr>
        <w:spacing w:before="80" w:after="40"/>
        <w:ind w:left="540" w:hanging="271"/>
      </w:pPr>
      <w:r>
        <w:rPr>
          <w:rFonts w:ascii="Calibri" w:hAnsi="Calibri"/>
          <w:b/>
          <w:i w:val="0"/>
          <w:color w:val="102A43"/>
          <w:sz w:val="21"/>
        </w:rPr>
        <w:t>Accounting lines</w:t>
      </w:r>
    </w:p>
    <w:p>
      <w:pPr>
        <w:spacing w:after="40"/>
      </w:pPr>
      <w:r>
        <w:rPr>
          <w:rFonts w:ascii="Calibri" w:hAnsi="Calibri"/>
          <w:b w:val="0"/>
          <w:i w:val="0"/>
          <w:color w:val="243447"/>
          <w:sz w:val="18"/>
        </w:rPr>
        <w:t>Choose a cost center and expense account for each line, then enter Net, IGV, and Total.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Add line creates another allocation; the trash icon removes a line.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Totals update automatically. Correct any Net + IGV versus Total warning before submission.</w:t>
      </w:r>
    </w:p>
    <w:p>
      <w:pPr>
        <w:keepNext/>
        <w:numPr>
          <w:ilvl w:val="0"/>
          <w:numId w:val="11"/>
        </w:numPr>
        <w:spacing w:before="80" w:after="40"/>
        <w:ind w:left="540" w:hanging="271"/>
      </w:pPr>
      <w:r>
        <w:rPr>
          <w:rFonts w:ascii="Calibri" w:hAnsi="Calibri"/>
          <w:b/>
          <w:i w:val="0"/>
          <w:color w:val="102A43"/>
          <w:sz w:val="21"/>
        </w:rPr>
        <w:t>Documents</w:t>
      </w:r>
    </w:p>
    <w:p>
      <w:pPr>
        <w:spacing w:after="40"/>
      </w:pPr>
      <w:r>
        <w:rPr>
          <w:rFonts w:ascii="Calibri" w:hAnsi="Calibri"/>
          <w:b w:val="0"/>
          <w:i w:val="0"/>
          <w:color w:val="243447"/>
          <w:sz w:val="18"/>
        </w:rPr>
        <w:t>Attach invoice and supporting files. Pago con Cotizacion and Reembolso con Sustento require both XML and PDF before submission.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The XML is checked against supplier RUC/DNI and request amounts.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Quotation and supporting uploads accept the additional evidence used by the business.</w:t>
      </w:r>
    </w:p>
    <w:p>
      <w:pPr>
        <w:keepNext/>
        <w:numPr>
          <w:ilvl w:val="0"/>
          <w:numId w:val="11"/>
        </w:numPr>
        <w:spacing w:before="80" w:after="40"/>
        <w:ind w:left="540" w:hanging="271"/>
      </w:pPr>
      <w:r>
        <w:rPr>
          <w:rFonts w:ascii="Calibri" w:hAnsi="Calibri"/>
          <w:b/>
          <w:i w:val="0"/>
          <w:color w:val="102A43"/>
          <w:sz w:val="21"/>
        </w:rPr>
        <w:t>Review and submit</w:t>
      </w:r>
    </w:p>
    <w:p>
      <w:pPr>
        <w:spacing w:after="40"/>
      </w:pPr>
      <w:r>
        <w:rPr>
          <w:rFonts w:ascii="Calibri" w:hAnsi="Calibri"/>
          <w:b w:val="0"/>
          <w:i w:val="0"/>
          <w:color w:val="243447"/>
          <w:sz w:val="18"/>
        </w:rPr>
        <w:t>Check the final summary. Use Edit or Back without losing entered data, Save draft to keep BORRADOR, or Submit for approval to start the workflow.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The form autosaves locally while you work.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The owner or Admin may edit or permanently delete BORRADOR and RECHAZADO requests.</w:t>
      </w:r>
    </w:p>
    <w:p>
      <w:pPr>
        <w:pStyle w:val="Heading2"/>
      </w:pPr>
      <w:r>
        <w:t>What happens next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440"/>
        <w:gridCol w:w="3280"/>
        <w:gridCol w:w="3640"/>
      </w:tblGrid>
      <w:tr>
        <w:trPr>
          <w:tblHeader w:val="true"/>
        </w:trPr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Next user action</w:t>
            </w:r>
          </w:p>
        </w:tc>
      </w:tr>
      <w:tr>
        <w:tc>
          <w:tcPr>
            <w:tcW w:type="dxa" w:w="2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5"/>
              </w:rPr>
              <w:t>BORRADOR</w:t>
            </w:r>
          </w:p>
        </w:tc>
        <w:tc>
          <w:tcPr>
            <w:tcW w:type="dxa" w:w="32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Saved but not submitted</w:t>
            </w:r>
          </w:p>
        </w:tc>
        <w:tc>
          <w:tcPr>
            <w:tcW w:type="dxa" w:w="36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Owner edits, submits, or deletes</w:t>
            </w:r>
          </w:p>
        </w:tc>
      </w:tr>
      <w:tr>
        <w:tc>
          <w:tcPr>
            <w:tcW w:type="dxa" w:w="24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5"/>
              </w:rPr>
              <w:t>PENDIENTE_APROBACION</w:t>
            </w:r>
          </w:p>
        </w:tc>
        <w:tc>
          <w:tcPr>
            <w:tcW w:type="dxa" w:w="328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Waiting for decision</w:t>
            </w:r>
          </w:p>
        </w:tc>
        <w:tc>
          <w:tcPr>
            <w:tcW w:type="dxa" w:w="36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Approver reviews details, XML, attachments, and timeline</w:t>
            </w:r>
          </w:p>
        </w:tc>
      </w:tr>
      <w:tr>
        <w:tc>
          <w:tcPr>
            <w:tcW w:type="dxa" w:w="2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5"/>
              </w:rPr>
              <w:t>RECHAZADO</w:t>
            </w:r>
          </w:p>
        </w:tc>
        <w:tc>
          <w:tcPr>
            <w:tcW w:type="dxa" w:w="32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Returned for correction</w:t>
            </w:r>
          </w:p>
        </w:tc>
        <w:tc>
          <w:tcPr>
            <w:tcW w:type="dxa" w:w="36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Owner reads the required comment, edits, and resubmits</w:t>
            </w:r>
          </w:p>
        </w:tc>
      </w:tr>
      <w:tr>
        <w:tc>
          <w:tcPr>
            <w:tcW w:type="dxa" w:w="24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5"/>
              </w:rPr>
              <w:t>APROBADO_POR_PAGAR</w:t>
            </w:r>
          </w:p>
        </w:tc>
        <w:tc>
          <w:tcPr>
            <w:tcW w:type="dxa" w:w="328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Approved and in Treasury queue</w:t>
            </w:r>
          </w:p>
        </w:tc>
        <w:tc>
          <w:tcPr>
            <w:tcW w:type="dxa" w:w="36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Treasury verifies bank/CCI and selects payment</w:t>
            </w:r>
          </w:p>
        </w:tc>
      </w:tr>
      <w:tr>
        <w:tc>
          <w:tcPr>
            <w:tcW w:type="dxa" w:w="2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5"/>
              </w:rPr>
              <w:t>PROCESADO_BANCO</w:t>
            </w:r>
          </w:p>
        </w:tc>
        <w:tc>
          <w:tcPr>
            <w:tcW w:type="dxa" w:w="32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Bank TXT generated</w:t>
            </w:r>
          </w:p>
        </w:tc>
        <w:tc>
          <w:tcPr>
            <w:tcW w:type="dxa" w:w="36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Accounting reviews entries and closes when complete</w:t>
            </w:r>
          </w:p>
        </w:tc>
      </w:tr>
      <w:tr>
        <w:tc>
          <w:tcPr>
            <w:tcW w:type="dxa" w:w="24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5"/>
              </w:rPr>
              <w:t>RENDICION_PENDIENTE</w:t>
            </w:r>
          </w:p>
        </w:tc>
        <w:tc>
          <w:tcPr>
            <w:tcW w:type="dxa" w:w="328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Advance paid; evidence is due</w:t>
            </w:r>
          </w:p>
        </w:tc>
        <w:tc>
          <w:tcPr>
            <w:tcW w:type="dxa" w:w="36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Owner/Accounting uploads rendition documents</w:t>
            </w:r>
          </w:p>
        </w:tc>
      </w:tr>
      <w:tr>
        <w:tc>
          <w:tcPr>
            <w:tcW w:type="dxa" w:w="2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5"/>
              </w:rPr>
              <w:t>LIQUIDADO_CERRADO</w:t>
            </w:r>
          </w:p>
        </w:tc>
        <w:tc>
          <w:tcPr>
            <w:tcW w:type="dxa" w:w="32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Workflow completed</w:t>
            </w:r>
          </w:p>
        </w:tc>
        <w:tc>
          <w:tcPr>
            <w:tcW w:type="dxa" w:w="36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5"/>
              </w:rPr>
              <w:t>Read-only record and audit history</w:t>
            </w:r>
          </w:p>
        </w:tc>
      </w:tr>
    </w:tbl>
    <w:p>
      <w:pPr>
        <w:spacing w:after="0" w:before="80"/>
      </w:pPr>
      <w:r>
        <w:rPr>
          <w:rFonts w:ascii="Calibri" w:hAnsi="Calibri"/>
          <w:b w:val="0"/>
          <w:i w:val="0"/>
          <w:color w:val="5E6C7B"/>
          <w:sz w:val="17"/>
        </w:rPr>
        <w:t>Approval creates provision accounting entries. Bank-file generation changes request statuses and creates payment entries; these effects are shown before confirmation.</w:t>
      </w:r>
    </w:p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0B6E70"/>
          <w:sz w:val="17"/>
        </w:rPr>
        <w:t>DAILY OPERATIONS</w:t>
      </w:r>
    </w:p>
    <w:p>
      <w:pPr>
        <w:pStyle w:val="Heading1"/>
      </w:pPr>
      <w:r>
        <w:t>3. Process, control, and support</w:t>
      </w:r>
    </w:p>
    <w:p>
      <w:pPr>
        <w:pStyle w:val="Heading2"/>
      </w:pPr>
      <w:r>
        <w:t>Approver</w:t>
      </w:r>
    </w:p>
    <w:p>
      <w:pPr>
        <w:spacing w:after="60"/>
      </w:pPr>
      <w:r>
        <w:rPr>
          <w:rFonts w:ascii="Calibri" w:hAnsi="Calibri"/>
          <w:b w:val="0"/>
          <w:i w:val="0"/>
          <w:color w:val="243447"/>
          <w:sz w:val="18"/>
        </w:rPr>
        <w:t>Open Approval Inbox, review the oldest requests and amounts, then open the request or use the decision buttons. Approve moves it to APROBADO_POR_PAGAR. Reject requires a clear comment and returns it to the Solicitor.</w:t>
      </w:r>
    </w:p>
    <w:p>
      <w:pPr>
        <w:pStyle w:val="Heading2"/>
      </w:pPr>
      <w:r>
        <w:t>Treasury</w:t>
      </w:r>
    </w:p>
    <w:p>
      <w:pPr>
        <w:spacing w:after="60"/>
      </w:pPr>
      <w:r>
        <w:rPr>
          <w:rFonts w:ascii="Calibri" w:hAnsi="Calibri"/>
          <w:b w:val="0"/>
          <w:i w:val="0"/>
          <w:color w:val="243447"/>
          <w:sz w:val="18"/>
        </w:rPr>
        <w:t>In Treasury Payment Queue, select ready rows, review totals by PEN/USD, and resolve missing bank/CCI warnings. Select Review bank file, confirm the exact result, generate the TXT, then use Bank file history to download previous files.</w:t>
      </w:r>
    </w:p>
    <w:p>
      <w:pPr>
        <w:pStyle w:val="Heading2"/>
      </w:pPr>
      <w:r>
        <w:t>Accounting and SIRE</w:t>
      </w:r>
    </w:p>
    <w:p>
      <w:pPr>
        <w:spacing w:after="60"/>
      </w:pPr>
      <w:r>
        <w:rPr>
          <w:rFonts w:ascii="Calibri" w:hAnsi="Calibri"/>
          <w:b w:val="0"/>
          <w:i w:val="0"/>
          <w:color w:val="243447"/>
          <w:sz w:val="18"/>
        </w:rPr>
        <w:t>Use Accounting Entries to load a period, compare debit/credit totals, review consolidation, and export CSV history. Use SIRE Export to validate XML-backed purchases before export. Accounting Periods can be closed or reopened; a closed period blocks workflow and accounting changes.</w:t>
      </w:r>
    </w:p>
    <w:p>
      <w:pPr>
        <w:pStyle w:val="Heading2"/>
      </w:pPr>
      <w:r>
        <w:t>Master data and administration</w:t>
      </w:r>
    </w:p>
    <w:p>
      <w:pPr>
        <w:spacing w:after="100"/>
      </w:pPr>
      <w:r>
        <w:rPr>
          <w:rFonts w:ascii="Calibri" w:hAnsi="Calibri"/>
          <w:b w:val="0"/>
          <w:i w:val="0"/>
          <w:color w:val="243447"/>
          <w:sz w:val="18"/>
        </w:rPr>
        <w:t>Admin/Accounting maintain suppliers, cost centers, expense types, exchange rates, and periods. Get latest online rate loads the current published USD/PEN selling rate into an editable form; review it before saving. Admin manages users and roles. Deactivation preserves history; permanent deletion cannot be undone.</w:t>
      </w:r>
    </w:p>
    <w:p>
      <w:pPr>
        <w:pStyle w:val="Heading2"/>
      </w:pPr>
      <w:r>
        <w:t>Common controls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7"/>
              </w:rPr>
              <w:t>Search / filters / sort</w:t>
            </w:r>
          </w:p>
        </w:tc>
        <w:tc>
          <w:tcPr>
            <w:tcW w:type="dxa" w:w="68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Find records, narrow status or currency, and order a table column.</w:t>
            </w:r>
          </w:p>
        </w:tc>
      </w:tr>
      <w:tr>
        <w:tc>
          <w:tcPr>
            <w:tcW w:type="dxa" w:w="252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7"/>
              </w:rPr>
              <w:t>Clear filters</w:t>
            </w:r>
          </w:p>
        </w:tc>
        <w:tc>
          <w:tcPr>
            <w:tcW w:type="dxa" w:w="68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Return the table to its complete result set.</w:t>
            </w:r>
          </w:p>
        </w:tc>
      </w:tr>
      <w:tr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7"/>
              </w:rPr>
              <w:t>Checkboxes</w:t>
            </w:r>
          </w:p>
        </w:tc>
        <w:tc>
          <w:tcPr>
            <w:tcW w:type="dxa" w:w="68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Select one row or all visible rows for supported bulk actions.</w:t>
            </w:r>
          </w:p>
        </w:tc>
      </w:tr>
      <w:tr>
        <w:tc>
          <w:tcPr>
            <w:tcW w:type="dxa" w:w="252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7"/>
              </w:rPr>
              <w:t>Three-dot menu</w:t>
            </w:r>
          </w:p>
        </w:tc>
        <w:tc>
          <w:tcPr>
            <w:tcW w:type="dxa" w:w="68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Open row actions such as View, Edit, Download, Deactivate, or Delete.</w:t>
            </w:r>
          </w:p>
        </w:tc>
      </w:tr>
      <w:tr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7"/>
              </w:rPr>
              <w:t>Refresh</w:t>
            </w:r>
          </w:p>
        </w:tc>
        <w:tc>
          <w:tcPr>
            <w:tcW w:type="dxa" w:w="68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Reload the latest dashboard, queue, rate, or table data.</w:t>
            </w:r>
          </w:p>
        </w:tc>
      </w:tr>
      <w:tr>
        <w:tc>
          <w:tcPr>
            <w:tcW w:type="dxa" w:w="252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7"/>
              </w:rPr>
              <w:t>Download icon</w:t>
            </w:r>
          </w:p>
        </w:tc>
        <w:tc>
          <w:tcPr>
            <w:tcW w:type="dxa" w:w="68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Open or download an attachment, bank file, consolidation, or SIRE export.</w:t>
            </w:r>
          </w:p>
        </w:tc>
      </w:tr>
      <w:tr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7"/>
              </w:rPr>
              <w:t>Back / Continue / Edit</w:t>
            </w:r>
          </w:p>
        </w:tc>
        <w:tc>
          <w:tcPr>
            <w:tcW w:type="dxa" w:w="68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Move through the request wizard without losing completed information.</w:t>
            </w:r>
          </w:p>
        </w:tc>
      </w:tr>
      <w:tr>
        <w:tc>
          <w:tcPr>
            <w:tcW w:type="dxa" w:w="252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43447"/>
                <w:sz w:val="17"/>
              </w:rPr>
              <w:t>Save draft / Submit</w:t>
            </w:r>
          </w:p>
        </w:tc>
        <w:tc>
          <w:tcPr>
            <w:tcW w:type="dxa" w:w="68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Keep editable work or send a validated request into approval.</w:t>
            </w:r>
          </w:p>
        </w:tc>
      </w:tr>
    </w:tbl>
    <w:p>
      <w:pPr>
        <w:pStyle w:val="Heading2"/>
      </w:pPr>
      <w:r>
        <w:t>Important operating rules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Read confirmation dialogs carefully: they state the exact status, accounting, or deletion result.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Disabled buttons include a reason; correct the missing document, bank detail, selection, status, or period first.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If data looks old, select Refresh. If access is denied, confirm your assigned role with the Admin.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The shared ERP requires the host PC, MongoDB, ERP server, and Cloudflare tunnel to remain running.</w:t>
      </w:r>
    </w:p>
    <w:p>
      <w:pPr>
        <w:pStyle w:val="ListBullet"/>
        <w:spacing w:after="0"/>
        <w:ind w:left="540" w:hanging="271"/>
      </w:pPr>
      <w:r>
        <w:rPr>
          <w:rFonts w:ascii="Calibri" w:hAnsi="Calibri"/>
          <w:b w:val="0"/>
          <w:i w:val="0"/>
          <w:color w:val="243447"/>
          <w:sz w:val="19"/>
        </w:rPr>
        <w:t>Use only authorized accounts. Do not share passwords or financial files outside approved channels.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  <w:pBdr>
        <w:bottom w:val="single" w:sz="6" w:space="4" w:color="D9E1E8"/>
      </w:pBdr>
    </w:pPr>
    <w:r>
      <w:rPr>
        <w:rFonts w:ascii="Calibri" w:hAnsi="Calibri"/>
        <w:b w:val="0"/>
        <w:i w:val="0"/>
        <w:color w:val="5E6C7B"/>
        <w:sz w:val="16"/>
      </w:rPr>
      <w:t xml:space="preserve">Internal operational guide  |  Page </w:t>
    </w:r>
    <w:r>
      <w:rPr>
        <w:rFonts w:ascii="Calibri" w:hAnsi="Calibri"/>
        <w:b w:val="0"/>
        <w:i w:val="0"/>
        <w:color w:val="5E6C7B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5E6C7B"/>
        <w:sz w:val="16"/>
      </w:rPr>
      <w:t xml:space="preserve"> of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4" w:color="D9E1E8"/>
      </w:pBdr>
    </w:pPr>
    <w:r>
      <w:rPr>
        <w:rFonts w:ascii="Calibri" w:hAnsi="Calibri"/>
        <w:b/>
        <w:i w:val="0"/>
        <w:color w:val="102A43"/>
        <w:sz w:val="17"/>
      </w:rPr>
      <w:t>FINANCIAL CONTROL</w:t>
    </w:r>
    <w:r>
      <w:rPr>
        <w:rFonts w:ascii="Calibri" w:hAnsi="Calibri"/>
        <w:b/>
        <w:i w:val="0"/>
        <w:color w:val="0F8B8D"/>
        <w:sz w:val="17"/>
      </w:rPr>
      <w:t xml:space="preserve">  |  </w:t>
    </w:r>
    <w:r>
      <w:rPr>
        <w:rFonts w:ascii="Calibri" w:hAnsi="Calibri"/>
        <w:b/>
        <w:i w:val="0"/>
        <w:color w:val="5E6C7B"/>
        <w:sz w:val="17"/>
      </w:rPr>
      <w:t>QUICK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B6E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F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E6C7B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540" w:hanging="271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540" w:hanging="271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00"/>
    </w:pPr>
    <w:rPr>
      <w:rFonts w:ascii="Calibri" w:hAnsi="Calibri"/>
      <w:b/>
      <w:bCs/>
      <w:i/>
      <w:color w:val="5E6C7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Financial Request &amp; Payment Control System - Quick User Manual</dc:title>
  <dc:subject>Three-page operational user guide</dc:subject>
  <dc:creator>Financial Operations</dc:creator>
  <cp:keywords>ERP, financial requests, approvals, treasury, accounting, user manual</cp:keywords>
  <dc:description>Generated as a concise operational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