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spacing w:after="280"/>
        <w:jc w:val="center"/>
      </w:pPr>
      <w:r>
        <w:rPr>
          <w:rFonts w:ascii="Calibri" w:hAnsi="Calibri" w:eastAsia="Calibri"/>
          <w:b/>
          <w:i w:val="0"/>
          <w:color w:val="0B7F7A"/>
          <w:sz w:val="20"/>
        </w:rPr>
        <w:t>UMA FINANCIAL OPERATIONS</w:t>
      </w:r>
    </w:p>
    <w:p>
      <w:pPr>
        <w:pStyle w:val="Title"/>
        <w:jc w:val="center"/>
      </w:pPr>
      <w:r>
        <w:rPr>
          <w:rFonts w:ascii="Calibri" w:hAnsi="Calibri" w:eastAsia="Calibri"/>
          <w:b/>
          <w:i w:val="0"/>
          <w:color w:val="0B2239"/>
          <w:sz w:val="58"/>
        </w:rPr>
        <w:t>Integrated CAPEX / OPEX /</w:t>
        <w:br/>
        <w:t>Accounts Payable Management System</w:t>
      </w:r>
    </w:p>
    <w:p>
      <w:pPr>
        <w:pStyle w:val="Subtitle"/>
        <w:jc w:val="center"/>
      </w:pPr>
      <w:r>
        <w:rPr>
          <w:rFonts w:ascii="Calibri" w:hAnsi="Calibri" w:eastAsia="Calibri"/>
          <w:b w:val="0"/>
          <w:i w:val="0"/>
          <w:color w:val="5D6A75"/>
          <w:sz w:val="28"/>
        </w:rPr>
        <w:t>Bilingual User and Operations Manual</w:t>
        <w:br/>
        <w:t>Manual Bilingüe de Usuario y Operaciones</w:t>
      </w:r>
    </w:p>
    <w:p>
      <w:pPr>
        <w:spacing w:after="320"/>
        <w:jc w:val="center"/>
      </w:pPr>
      <w:r>
        <w:rPr>
          <w:rFonts w:ascii="Calibri" w:hAnsi="Calibri" w:eastAsia="Calibri"/>
          <w:b/>
          <w:i w:val="0"/>
          <w:color w:val="0B7F7A"/>
          <w:sz w:val="19"/>
        </w:rPr>
        <w:t>Version 2026-08-10  |  English / Español  |  Internal use</w:t>
      </w:r>
    </w:p>
    <w:p>
      <w:pPr>
        <w:keepNext/>
        <w:spacing w:before="40" w:after="0"/>
        <w:jc w:val="center"/>
      </w:pPr>
      <w:r>
        <w:drawing>
          <wp:inline xmlns:a="http://schemas.openxmlformats.org/drawingml/2006/main" xmlns:pic="http://schemas.openxmlformats.org/drawingml/2006/picture">
            <wp:extent cx="5623560" cy="4216337"/>
            <wp:docPr id="1" name="Picture 1" title="UMA financial operations dashboard" descr="Role-based ERP dashboard with navigation, requests, workflow health and financial task counters."/>
            <wp:cNvGraphicFramePr>
              <a:graphicFrameLocks noChangeAspect="1"/>
            </wp:cNvGraphicFramePr>
            <a:graphic>
              <a:graphicData uri="http://schemas.openxmlformats.org/drawingml/2006/picture">
                <pic:pic>
                  <pic:nvPicPr>
                    <pic:cNvPr id="0" name="admin-dashboard-final-1280.jpg"/>
                    <pic:cNvPicPr/>
                  </pic:nvPicPr>
                  <pic:blipFill>
                    <a:blip r:embed="rId13"/>
                    <a:stretch>
                      <a:fillRect/>
                    </a:stretch>
                  </pic:blipFill>
                  <pic:spPr>
                    <a:xfrm>
                      <a:off x="0" y="0"/>
                      <a:ext cx="5623560" cy="4216337"/>
                    </a:xfrm>
                    <a:prstGeom prst="rect"/>
                  </pic:spPr>
                </pic:pic>
              </a:graphicData>
            </a:graphic>
          </wp:inline>
        </w:drawing>
      </w:r>
    </w:p>
    <w:p>
      <w:pPr>
        <w:pStyle w:val="Caption"/>
        <w:jc w:val="center"/>
      </w:pPr>
      <w:r>
        <w:rPr>
          <w:rFonts w:ascii="Calibri" w:hAnsi="Calibri" w:eastAsia="Calibri"/>
          <w:b w:val="0"/>
          <w:i w:val="0"/>
          <w:color w:val="5D6A75"/>
          <w:sz w:val="17"/>
        </w:rPr>
        <w:t>Role-based workspace with live operational data and permission-aware navigation.</w:t>
      </w:r>
    </w:p>
    <w:p>
      <w:pPr>
        <w:spacing w:before="160" w:after="0"/>
        <w:jc w:val="center"/>
        <w:shd w:fill="E7F3F1" w:val="clear"/>
        <w:pBdr>
          <w:left w:val="single" w:sz="20" w:space="8" w:color="0B7F7A"/>
        </w:pBdr>
      </w:pPr>
      <w:r>
        <w:rPr>
          <w:rFonts w:ascii="Calibri" w:hAnsi="Calibri" w:eastAsia="Calibri"/>
          <w:b/>
          <w:i w:val="0"/>
          <w:color w:val="0B2239"/>
          <w:sz w:val="20"/>
        </w:rPr>
        <w:t>One controlled record from request and approval through budget, CXP, payment, reconciliation and close.</w:t>
      </w:r>
    </w:p>
    <w:p>
      <w:pPr>
        <w:pStyle w:val="Heading1"/>
        <w:pageBreakBefore/>
      </w:pPr>
      <w:r>
        <w:t>How to Use This Guide / Cómo Usar Esta Guía</w:t>
      </w:r>
    </w:p>
    <w:p>
      <w:r>
        <w:rPr>
          <w:rFonts w:ascii="Calibri" w:hAnsi="Calibri" w:eastAsia="Calibri"/>
          <w:b w:val="0"/>
          <w:i w:val="0"/>
          <w:color w:val="17212B"/>
          <w:sz w:val="22"/>
        </w:rPr>
        <w:t>Part I explains the application in simple English. Parte II repeats the operating instructions in Spanish. The final section records technical architecture, backup rules and external integration limits.</w:t>
      </w:r>
    </w:p>
    <w:p>
      <w:r>
        <w:rPr>
          <w:rFonts w:ascii="Calibri" w:hAnsi="Calibri" w:eastAsia="Calibri"/>
          <w:b w:val="0"/>
          <w:i w:val="0"/>
          <w:color w:val="17212B"/>
          <w:sz w:val="22"/>
        </w:rPr>
        <w:t>La Parte I explica la aplicación en inglés sencillo. La Parte II repite las instrucciones en español. La sección final registra arquitectura, respaldo y límites de integración externa.</w:t>
      </w:r>
    </w:p>
    <w:p>
      <w:pPr>
        <w:pStyle w:val="Heading2"/>
      </w:pPr>
      <w:r>
        <w:t>Controlled lifecycle / Ciclo controlado</w:t>
      </w:r>
    </w:p>
    <w:p>
      <w:pPr>
        <w:spacing w:before="80" w:after="200"/>
        <w:jc w:val="center"/>
        <w:shd w:fill="E8EEF5" w:val="clear"/>
        <w:pBdr>
          <w:left w:val="single" w:sz="20" w:space="8" w:color="173B57"/>
        </w:pBdr>
      </w:pPr>
      <w:r>
        <w:rPr>
          <w:rFonts w:ascii="Consolas" w:hAnsi="Consolas" w:eastAsia="Consolas"/>
          <w:b/>
          <w:i w:val="0"/>
          <w:color w:val="0B2239"/>
          <w:sz w:val="19"/>
        </w:rPr>
        <w:t>Request -&gt; Validation -&gt; Approvals -&gt; Budget -&gt; Accounting/CXP -&gt; Treasury -&gt; TXT -&gt; Actual payment -&gt; Reconciliation -&gt; Close</w:t>
      </w:r>
    </w:p>
    <w:p>
      <w:pPr>
        <w:pStyle w:val="Heading2"/>
      </w:pPr>
      <w:r>
        <w:t>Fast navigation</w:t>
      </w:r>
    </w:p>
    <w:p>
      <w:pPr>
        <w:numPr>
          <w:ilvl w:val="0"/>
          <w:numId w:val="10"/>
        </w:numPr>
        <w:spacing w:after="80" w:line="300" w:lineRule="auto"/>
        <w:ind w:left="540" w:hanging="271"/>
      </w:pPr>
      <w:r>
        <w:rPr>
          <w:rFonts w:ascii="Calibri" w:hAnsi="Calibri" w:eastAsia="Calibri"/>
          <w:b w:val="0"/>
          <w:i w:val="0"/>
          <w:color w:val="17212B"/>
          <w:sz w:val="21"/>
        </w:rPr>
        <w:t>English: access and roles; requests/documents; suppliers/approvals; budget; Accounting/CXP; Treasury; special flows; reports/security.</w:t>
      </w:r>
    </w:p>
    <w:p>
      <w:pPr>
        <w:numPr>
          <w:ilvl w:val="0"/>
          <w:numId w:val="10"/>
        </w:numPr>
        <w:spacing w:after="80" w:line="300" w:lineRule="auto"/>
        <w:ind w:left="540" w:hanging="271"/>
      </w:pPr>
      <w:r>
        <w:rPr>
          <w:rFonts w:ascii="Calibri" w:hAnsi="Calibri" w:eastAsia="Calibri"/>
          <w:b w:val="0"/>
          <w:i w:val="0"/>
          <w:color w:val="17212B"/>
          <w:sz w:val="21"/>
        </w:rPr>
        <w:t>Español: acceso y roles; solicitudes/documentos; proveedores/aprobaciones; presupuesto; Contabilidad/CXP; Tesorería; flujos especiales; reportes/seguridad.</w:t>
      </w:r>
    </w:p>
    <w:p>
      <w:pPr>
        <w:numPr>
          <w:ilvl w:val="0"/>
          <w:numId w:val="10"/>
        </w:numPr>
        <w:spacing w:after="80" w:line="300" w:lineRule="auto"/>
        <w:ind w:left="540" w:hanging="271"/>
      </w:pPr>
      <w:r>
        <w:rPr>
          <w:rFonts w:ascii="Calibri" w:hAnsi="Calibri" w:eastAsia="Calibri"/>
          <w:b w:val="0"/>
          <w:i w:val="0"/>
          <w:color w:val="17212B"/>
          <w:sz w:val="21"/>
        </w:rPr>
        <w:t>Use the page header to confirm the manual and the footer to identify the current page.</w:t>
      </w:r>
    </w:p>
    <w:p>
      <w:pPr>
        <w:numPr>
          <w:ilvl w:val="0"/>
          <w:numId w:val="10"/>
        </w:numPr>
        <w:spacing w:after="80" w:line="300" w:lineRule="auto"/>
        <w:ind w:left="540" w:hanging="271"/>
      </w:pPr>
      <w:r>
        <w:rPr>
          <w:rFonts w:ascii="Calibri" w:hAnsi="Calibri" w:eastAsia="Calibri"/>
          <w:b w:val="0"/>
          <w:i w:val="0"/>
          <w:color w:val="17212B"/>
          <w:sz w:val="21"/>
        </w:rPr>
        <w:t>Every financial action is enforced by the backend. A hidden or disabled button is not the security boundary.</w:t>
      </w:r>
    </w:p>
    <w:p>
      <w:pPr>
        <w:spacing w:before="80" w:after="180"/>
        <w:ind w:left="115" w:right="115"/>
        <w:shd w:fill="FFF5D9" w:val="clear"/>
        <w:pBdr>
          <w:left w:val="single" w:sz="20" w:space="8" w:color="8A5A00"/>
        </w:pBdr>
      </w:pPr>
      <w:r>
        <w:rPr>
          <w:rFonts w:ascii="Calibri" w:hAnsi="Calibri" w:eastAsia="Calibri"/>
          <w:b w:val="0"/>
          <w:i w:val="0"/>
          <w:color w:val="17212B"/>
          <w:sz w:val="22"/>
        </w:rPr>
        <w:t>Critical rule: generating or downloading a bank TXT creates a payment instruction only. Accounts Payable is settled only after Treasury records the bank's actual operation.</w:t>
      </w:r>
    </w:p>
    <w:p>
      <w:r>
        <w:br w:type="page"/>
      </w:r>
    </w:p>
    <w:p>
      <w:pPr>
        <w:pStyle w:val="Heading1"/>
        <w:spacing w:after="280"/>
        <w:jc w:val="center"/>
      </w:pPr>
      <w:r>
        <w:rPr>
          <w:rFonts w:ascii="Calibri" w:hAnsi="Calibri" w:eastAsia="Calibri"/>
          <w:b/>
          <w:i w:val="0"/>
          <w:color w:val="0B2239"/>
          <w:sz w:val="38"/>
        </w:rPr>
        <w:t>Part I - English</w:t>
      </w:r>
    </w:p>
    <w:p>
      <w:pPr>
        <w:pStyle w:val="Heading1"/>
      </w:pPr>
      <w:r>
        <w:t>1. What the System Does</w:t>
      </w:r>
    </w:p>
    <w:p>
      <w:r>
        <w:rPr>
          <w:rFonts w:ascii="Calibri" w:hAnsi="Calibri" w:eastAsia="Calibri"/>
          <w:b w:val="0"/>
          <w:i w:val="0"/>
          <w:color w:val="17212B"/>
          <w:sz w:val="22"/>
        </w:rPr>
        <w:t>The system controls one institutional expense from the first request until final accounting close. It keeps the request, supplier evidence, approvals, budget, accounting records, payment instructions, bank confirmation, reconciliation, and audit history connected under one request number.</w:t>
      </w:r>
    </w:p>
    <w:p>
      <w:r>
        <w:rPr>
          <w:rFonts w:ascii="Calibri" w:hAnsi="Calibri" w:eastAsia="Calibri"/>
          <w:b w:val="0"/>
          <w:i w:val="0"/>
          <w:color w:val="17212B"/>
          <w:sz w:val="22"/>
        </w:rPr>
        <w:t>The normal path is:</w:t>
      </w:r>
    </w:p>
    <w:p>
      <w:pPr>
        <w:spacing w:before="80" w:after="180"/>
        <w:ind w:left="115" w:right="115"/>
        <w:shd w:fill="E7F3F1" w:val="clear"/>
        <w:pBdr>
          <w:left w:val="single" w:sz="20" w:space="8" w:color="0B7F7A"/>
        </w:pBdr>
      </w:pPr>
      <w:r>
        <w:rPr>
          <w:rFonts w:ascii="Consolas" w:hAnsi="Consolas" w:eastAsia="Consolas"/>
          <w:b w:val="0"/>
          <w:i w:val="0"/>
          <w:color w:val="173B57"/>
          <w:sz w:val="21"/>
          <w:shd w:fill="E8EEF5" w:val="clear"/>
        </w:rPr>
        <w:t>Draft -&gt; Validate -&gt; Submit -&gt; Director -&gt; Vice Rector -&gt; Budget -&gt; Accounting/CXP -&gt; Treasury schedule -&gt; Bank TXT -&gt; Real payment confirmation -&gt; Reconciliation -&gt; Close</w:t>
      </w:r>
    </w:p>
    <w:p>
      <w:pPr>
        <w:spacing w:before="80" w:after="180"/>
        <w:ind w:left="115" w:right="115"/>
        <w:shd w:fill="FFF5D9" w:val="clear"/>
        <w:pBdr>
          <w:left w:val="single" w:sz="20" w:space="8" w:color="8A5A00"/>
        </w:pBdr>
      </w:pPr>
      <w:r>
        <w:rPr>
          <w:rFonts w:ascii="Calibri" w:hAnsi="Calibri" w:eastAsia="Calibri"/>
          <w:b w:val="0"/>
          <w:i w:val="0"/>
          <w:color w:val="17212B"/>
          <w:sz w:val="22"/>
        </w:rPr>
        <w:t>Generating a bank TXT is not payment. Treasury must confirm the operation after the bank has really executed it.</w:t>
      </w:r>
    </w:p>
    <w:p>
      <w:pPr>
        <w:pStyle w:val="Heading1"/>
      </w:pPr>
      <w:r>
        <w:t>2. Sign In and Main Screen</w:t>
      </w:r>
    </w:p>
    <w:p>
      <w:pPr>
        <w:keepNext/>
        <w:spacing w:before="40" w:after="0"/>
        <w:jc w:val="center"/>
      </w:pPr>
      <w:r>
        <w:drawing>
          <wp:inline xmlns:a="http://schemas.openxmlformats.org/drawingml/2006/main" xmlns:pic="http://schemas.openxmlformats.org/drawingml/2006/picture">
            <wp:extent cx="2423160" cy="5243967"/>
            <wp:docPr id="2" name="Picture 2" title="Mobile row action sheet" descr="A mobile request table with a modal bottom action sheet containing Quick view and Open full details."/>
            <wp:cNvGraphicFramePr>
              <a:graphicFrameLocks noChangeAspect="1"/>
            </wp:cNvGraphicFramePr>
            <a:graphic>
              <a:graphicData uri="http://schemas.openxmlformats.org/drawingml/2006/picture">
                <pic:pic>
                  <pic:nvPicPr>
                    <pic:cNvPr id="0" name="requests-actions-mobile-final-390.jpg"/>
                    <pic:cNvPicPr/>
                  </pic:nvPicPr>
                  <pic:blipFill>
                    <a:blip r:embed="rId14"/>
                    <a:stretch>
                      <a:fillRect/>
                    </a:stretch>
                  </pic:blipFill>
                  <pic:spPr>
                    <a:xfrm>
                      <a:off x="0" y="0"/>
                      <a:ext cx="2423160" cy="5243967"/>
                    </a:xfrm>
                    <a:prstGeom prst="rect"/>
                  </pic:spPr>
                </pic:pic>
              </a:graphicData>
            </a:graphic>
          </wp:inline>
        </w:drawing>
      </w:r>
    </w:p>
    <w:p>
      <w:pPr>
        <w:pStyle w:val="Caption"/>
        <w:jc w:val="center"/>
      </w:pPr>
      <w:r>
        <w:rPr>
          <w:rFonts w:ascii="Calibri" w:hAnsi="Calibri" w:eastAsia="Calibri"/>
          <w:b w:val="0"/>
          <w:i w:val="0"/>
          <w:color w:val="5D6A75"/>
          <w:sz w:val="17"/>
        </w:rPr>
        <w:t>On small screens, row actions move into an accessible bottom action sheet.</w:t>
      </w:r>
    </w:p>
    <w:p>
      <w:r>
        <w:rPr>
          <w:rFonts w:ascii="Calibri" w:hAnsi="Calibri" w:eastAsia="Calibri"/>
          <w:b w:val="0"/>
          <w:i w:val="0"/>
          <w:color w:val="17212B"/>
          <w:sz w:val="22"/>
        </w:rPr>
        <w:t>Open the local or shared HTTPS address and enter your email and password. Inactive users cannot sign in.</w:t>
      </w:r>
    </w:p>
    <w:p>
      <w:r>
        <w:rPr>
          <w:rFonts w:ascii="Calibri" w:hAnsi="Calibri" w:eastAsia="Calibri"/>
          <w:b w:val="0"/>
          <w:i w:val="0"/>
          <w:color w:val="17212B"/>
          <w:sz w:val="22"/>
        </w:rPr>
        <w:t>The main screen has:</w:t>
      </w:r>
    </w:p>
    <w:p>
      <w:pPr>
        <w:numPr>
          <w:ilvl w:val="0"/>
          <w:numId w:val="10"/>
        </w:numPr>
        <w:spacing w:after="80" w:line="300" w:lineRule="auto"/>
        <w:ind w:left="540" w:hanging="271"/>
      </w:pPr>
      <w:r>
        <w:rPr>
          <w:rFonts w:ascii="Calibri" w:hAnsi="Calibri" w:eastAsia="Calibri"/>
          <w:b/>
          <w:i w:val="0"/>
          <w:color w:val="17212B"/>
          <w:sz w:val="21"/>
        </w:rPr>
        <w:t>Left navigation:</w:t>
      </w:r>
      <w:r>
        <w:rPr>
          <w:rFonts w:ascii="Calibri" w:hAnsi="Calibri" w:eastAsia="Calibri"/>
          <w:b w:val="0"/>
          <w:i w:val="0"/>
          <w:color w:val="17212B"/>
          <w:sz w:val="21"/>
        </w:rPr>
        <w:t xml:space="preserve"> pages allowed for your role. Use the arrow at the bottom to collapse it. On a phone, use the menu icon to open the drawer.</w:t>
      </w:r>
    </w:p>
    <w:p>
      <w:pPr>
        <w:numPr>
          <w:ilvl w:val="0"/>
          <w:numId w:val="10"/>
        </w:numPr>
        <w:spacing w:after="80" w:line="300" w:lineRule="auto"/>
        <w:ind w:left="540" w:hanging="271"/>
      </w:pPr>
      <w:r>
        <w:rPr>
          <w:rFonts w:ascii="Calibri" w:hAnsi="Calibri" w:eastAsia="Calibri"/>
          <w:b/>
          <w:i w:val="0"/>
          <w:color w:val="17212B"/>
          <w:sz w:val="21"/>
        </w:rPr>
        <w:t>Page title and breadcrumbs:</w:t>
      </w:r>
      <w:r>
        <w:rPr>
          <w:rFonts w:ascii="Calibri" w:hAnsi="Calibri" w:eastAsia="Calibri"/>
          <w:b w:val="0"/>
          <w:i w:val="0"/>
          <w:color w:val="17212B"/>
          <w:sz w:val="21"/>
        </w:rPr>
        <w:t xml:space="preserve"> show where you are.</w:t>
      </w:r>
    </w:p>
    <w:p>
      <w:pPr>
        <w:numPr>
          <w:ilvl w:val="0"/>
          <w:numId w:val="10"/>
        </w:numPr>
        <w:spacing w:after="80" w:line="300" w:lineRule="auto"/>
        <w:ind w:left="540" w:hanging="271"/>
      </w:pPr>
      <w:r>
        <w:rPr>
          <w:rFonts w:ascii="Calibri" w:hAnsi="Calibri" w:eastAsia="Calibri"/>
          <w:b/>
          <w:i w:val="0"/>
          <w:color w:val="17212B"/>
          <w:sz w:val="21"/>
        </w:rPr>
        <w:t>EN/ES:</w:t>
      </w:r>
      <w:r>
        <w:rPr>
          <w:rFonts w:ascii="Calibri" w:hAnsi="Calibri" w:eastAsia="Calibri"/>
          <w:b w:val="0"/>
          <w:i w:val="0"/>
          <w:color w:val="17212B"/>
          <w:sz w:val="21"/>
        </w:rPr>
        <w:t xml:space="preserve"> changes all interface labels between English and Spanish.</w:t>
      </w:r>
    </w:p>
    <w:p>
      <w:pPr>
        <w:numPr>
          <w:ilvl w:val="0"/>
          <w:numId w:val="10"/>
        </w:numPr>
        <w:spacing w:after="80" w:line="300" w:lineRule="auto"/>
        <w:ind w:left="540" w:hanging="271"/>
      </w:pPr>
      <w:r>
        <w:rPr>
          <w:rFonts w:ascii="Calibri" w:hAnsi="Calibri" w:eastAsia="Calibri"/>
          <w:b/>
          <w:i w:val="0"/>
          <w:color w:val="17212B"/>
          <w:sz w:val="21"/>
        </w:rPr>
        <w:t>Bell:</w:t>
      </w:r>
      <w:r>
        <w:rPr>
          <w:rFonts w:ascii="Calibri" w:hAnsi="Calibri" w:eastAsia="Calibri"/>
          <w:b w:val="0"/>
          <w:i w:val="0"/>
          <w:color w:val="17212B"/>
          <w:sz w:val="21"/>
        </w:rPr>
        <w:t xml:space="preserve"> shows pending tasks and notifications for your role.</w:t>
      </w:r>
    </w:p>
    <w:p>
      <w:pPr>
        <w:numPr>
          <w:ilvl w:val="0"/>
          <w:numId w:val="10"/>
        </w:numPr>
        <w:spacing w:after="80" w:line="300" w:lineRule="auto"/>
        <w:ind w:left="540" w:hanging="271"/>
      </w:pPr>
      <w:r>
        <w:rPr>
          <w:rFonts w:ascii="Calibri" w:hAnsi="Calibri" w:eastAsia="Calibri"/>
          <w:b/>
          <w:i w:val="0"/>
          <w:color w:val="17212B"/>
          <w:sz w:val="21"/>
        </w:rPr>
        <w:t>User menu:</w:t>
      </w:r>
      <w:r>
        <w:rPr>
          <w:rFonts w:ascii="Calibri" w:hAnsi="Calibri" w:eastAsia="Calibri"/>
          <w:b w:val="0"/>
          <w:i w:val="0"/>
          <w:color w:val="17212B"/>
          <w:sz w:val="21"/>
        </w:rPr>
        <w:t xml:space="preserve"> shows your name, role, area, and Log out.</w:t>
      </w:r>
    </w:p>
    <w:p>
      <w:pPr>
        <w:numPr>
          <w:ilvl w:val="0"/>
          <w:numId w:val="10"/>
        </w:numPr>
        <w:spacing w:after="80" w:line="300" w:lineRule="auto"/>
        <w:ind w:left="540" w:hanging="271"/>
      </w:pPr>
      <w:r>
        <w:rPr>
          <w:rFonts w:ascii="Calibri" w:hAnsi="Calibri" w:eastAsia="Calibri"/>
          <w:b/>
          <w:i w:val="0"/>
          <w:color w:val="17212B"/>
          <w:sz w:val="21"/>
        </w:rPr>
        <w:t>Three-dot menu:</w:t>
      </w:r>
      <w:r>
        <w:rPr>
          <w:rFonts w:ascii="Calibri" w:hAnsi="Calibri" w:eastAsia="Calibri"/>
          <w:b w:val="0"/>
          <w:i w:val="0"/>
          <w:color w:val="17212B"/>
          <w:sz w:val="21"/>
        </w:rPr>
        <w:t xml:space="preserve"> shows actions for one table row. On mobile it opens as a bottom action sheet.</w:t>
      </w:r>
    </w:p>
    <w:p>
      <w:r>
        <w:rPr>
          <w:rFonts w:ascii="Calibri" w:hAnsi="Calibri" w:eastAsia="Calibri"/>
          <w:b w:val="0"/>
          <w:i w:val="0"/>
          <w:color w:val="17212B"/>
          <w:sz w:val="22"/>
        </w:rPr>
        <w:t>Tables support Search, column filters, sorting, rows per page, previous/next page, result count, and Clear filters. Use the checkboxes where bulk selection is available.</w:t>
      </w:r>
    </w:p>
    <w:p>
      <w:pPr>
        <w:pStyle w:val="Heading1"/>
      </w:pPr>
      <w:r>
        <w:t>3. Roles and Access</w:t>
      </w:r>
    </w:p>
    <w:tbl>
      <w:tblPr>
        <w:tblW w:type="dxa" w:w="9360"/>
        <w:tblLayout w:type="fixed"/>
        <w:tblLook w:firstColumn="1" w:firstRow="1" w:lastColumn="0" w:lastRow="0" w:noHBand="0" w:noVBand="1" w:val="04A0"/>
        <w:jc w:val="left"/>
        <w:tblBorders>
          <w:top w:val="single" w:sz="6" w:space="0" w:color="DCE3E7"/>
          <w:left w:val="single" w:sz="6" w:space="0" w:color="DCE3E7"/>
          <w:bottom w:val="single" w:sz="6" w:space="0" w:color="DCE3E7"/>
          <w:right w:val="single" w:sz="6" w:space="0" w:color="DCE3E7"/>
          <w:insideH w:val="single" w:sz="6" w:space="0" w:color="DCE3E7"/>
          <w:insideV w:val="single" w:sz="6" w:space="0" w:color="DCE3E7"/>
        </w:tblBorders>
        <w:tblInd w:w="120" w:type="dxa"/>
      </w:tblPr>
      <w:tblGrid>
        <w:gridCol w:w="2200"/>
        <w:gridCol w:w="7160"/>
      </w:tblGrid>
      <w:tr>
        <w:trPr>
          <w:tblHeader w:val="true"/>
          <w:cantSplit/>
        </w:trPr>
        <w:tc>
          <w:tcPr>
            <w:tcW w:type="dxa" w:w="2200"/>
            <w:shd w:fill="0B2239" w:val="clear"/>
            <w:tcMar>
              <w:top w:w="80" w:type="dxa"/>
              <w:start w:w="120" w:type="dxa"/>
              <w:bottom w:w="80" w:type="dxa"/>
              <w:end w:w="120" w:type="dxa"/>
            </w:tcMar>
            <w:vAlign w:val="center"/>
          </w:tcPr>
          <w:p>
            <w:pPr>
              <w:spacing w:after="0"/>
            </w:pPr>
            <w:r>
              <w:rPr>
                <w:rFonts w:ascii="Calibri" w:hAnsi="Calibri" w:eastAsia="Calibri"/>
                <w:b/>
                <w:i w:val="0"/>
                <w:color w:val="FFFFFF"/>
                <w:sz w:val="18"/>
              </w:rPr>
              <w:t>Role</w:t>
            </w:r>
          </w:p>
        </w:tc>
        <w:tc>
          <w:tcPr>
            <w:tcW w:type="dxa" w:w="7160"/>
            <w:shd w:fill="0B2239" w:val="clear"/>
            <w:tcMar>
              <w:top w:w="80" w:type="dxa"/>
              <w:start w:w="120" w:type="dxa"/>
              <w:bottom w:w="80" w:type="dxa"/>
              <w:end w:w="120" w:type="dxa"/>
            </w:tcMar>
            <w:vAlign w:val="center"/>
          </w:tcPr>
          <w:p>
            <w:pPr>
              <w:spacing w:after="0"/>
            </w:pPr>
            <w:r>
              <w:rPr>
                <w:rFonts w:ascii="Calibri" w:hAnsi="Calibri" w:eastAsia="Calibri"/>
                <w:b/>
                <w:i w:val="0"/>
                <w:color w:val="FFFFFF"/>
                <w:sz w:val="18"/>
              </w:rPr>
              <w:t>Main work</w:t>
            </w:r>
          </w:p>
        </w:tc>
      </w:tr>
      <w:tr>
        <w:trPr>
          <w:cantSplit/>
        </w:trPr>
        <w:tc>
          <w:tcPr>
            <w:tcW w:type="dxa" w:w="2200"/>
            <w:shd w:fill="FFFFFF" w:val="clear"/>
            <w:tcMar>
              <w:top w:w="80" w:type="dxa"/>
              <w:start w:w="120" w:type="dxa"/>
              <w:bottom w:w="80" w:type="dxa"/>
              <w:end w:w="120" w:type="dxa"/>
            </w:tcMar>
            <w:vAlign w:val="center"/>
          </w:tcPr>
          <w:p>
            <w:pPr>
              <w:spacing w:after="0" w:line="252" w:lineRule="auto"/>
            </w:pPr>
            <w:r>
              <w:rPr>
                <w:rFonts w:ascii="Calibri" w:hAnsi="Calibri" w:eastAsia="Calibri"/>
                <w:b/>
                <w:i w:val="0"/>
                <w:color w:val="17212B"/>
                <w:sz w:val="18"/>
              </w:rPr>
              <w:t>Admin</w:t>
            </w:r>
          </w:p>
        </w:tc>
        <w:tc>
          <w:tcPr>
            <w:tcW w:type="dxa" w:w="7160"/>
            <w:shd w:fill="FFFFFF" w:val="clear"/>
            <w:tcMar>
              <w:top w:w="80" w:type="dxa"/>
              <w:start w:w="120" w:type="dxa"/>
              <w:bottom w:w="80" w:type="dxa"/>
              <w:end w:w="120" w:type="dxa"/>
            </w:tcMar>
            <w:vAlign w:val="center"/>
          </w:tcPr>
          <w:p>
            <w:pPr>
              <w:spacing w:after="0" w:line="252" w:lineRule="auto"/>
            </w:pPr>
            <w:r>
              <w:rPr>
                <w:rFonts w:ascii="Calibri" w:hAnsi="Calibri" w:eastAsia="Calibri"/>
                <w:b w:val="0"/>
                <w:i w:val="0"/>
                <w:color w:val="17212B"/>
                <w:sz w:val="18"/>
              </w:rPr>
              <w:t>Users, technical/master configuration, all records, and audited overrides.</w:t>
            </w:r>
          </w:p>
        </w:tc>
      </w:tr>
      <w:tr>
        <w:trPr>
          <w:cantSplit/>
        </w:trPr>
        <w:tc>
          <w:tcPr>
            <w:tcW w:type="dxa" w:w="2200"/>
            <w:shd w:fill="F5F7F8" w:val="clear"/>
            <w:tcMar>
              <w:top w:w="80" w:type="dxa"/>
              <w:start w:w="120" w:type="dxa"/>
              <w:bottom w:w="80" w:type="dxa"/>
              <w:end w:w="120" w:type="dxa"/>
            </w:tcMar>
            <w:vAlign w:val="center"/>
          </w:tcPr>
          <w:p>
            <w:pPr>
              <w:spacing w:after="0" w:line="252" w:lineRule="auto"/>
            </w:pPr>
            <w:r>
              <w:rPr>
                <w:rFonts w:ascii="Calibri" w:hAnsi="Calibri" w:eastAsia="Calibri"/>
                <w:b/>
                <w:i w:val="0"/>
                <w:color w:val="17212B"/>
                <w:sz w:val="18"/>
              </w:rPr>
              <w:t>Solicitor</w:t>
            </w:r>
          </w:p>
        </w:tc>
        <w:tc>
          <w:tcPr>
            <w:tcW w:type="dxa" w:w="7160"/>
            <w:shd w:fill="F5F7F8" w:val="clear"/>
            <w:tcMar>
              <w:top w:w="80" w:type="dxa"/>
              <w:start w:w="120" w:type="dxa"/>
              <w:bottom w:w="80" w:type="dxa"/>
              <w:end w:w="120" w:type="dxa"/>
            </w:tcMar>
            <w:vAlign w:val="center"/>
          </w:tcPr>
          <w:p>
            <w:pPr>
              <w:spacing w:after="0" w:line="252" w:lineRule="auto"/>
            </w:pPr>
            <w:r>
              <w:rPr>
                <w:rFonts w:ascii="Calibri" w:hAnsi="Calibri" w:eastAsia="Calibri"/>
                <w:b w:val="0"/>
                <w:i w:val="0"/>
                <w:color w:val="17212B"/>
                <w:sz w:val="18"/>
              </w:rPr>
              <w:t>Own requests, drafts/corrections, supplier proposals, and renditions.</w:t>
            </w:r>
          </w:p>
        </w:tc>
      </w:tr>
      <w:tr>
        <w:trPr>
          <w:cantSplit/>
        </w:trPr>
        <w:tc>
          <w:tcPr>
            <w:tcW w:type="dxa" w:w="2200"/>
            <w:shd w:fill="FFFFFF" w:val="clear"/>
            <w:tcMar>
              <w:top w:w="80" w:type="dxa"/>
              <w:start w:w="120" w:type="dxa"/>
              <w:bottom w:w="80" w:type="dxa"/>
              <w:end w:w="120" w:type="dxa"/>
            </w:tcMar>
            <w:vAlign w:val="center"/>
          </w:tcPr>
          <w:p>
            <w:pPr>
              <w:spacing w:after="0" w:line="252" w:lineRule="auto"/>
            </w:pPr>
            <w:r>
              <w:rPr>
                <w:rFonts w:ascii="Calibri" w:hAnsi="Calibri" w:eastAsia="Calibri"/>
                <w:b/>
                <w:i w:val="0"/>
                <w:color w:val="17212B"/>
                <w:sz w:val="18"/>
              </w:rPr>
              <w:t>Approver - Area Director</w:t>
            </w:r>
          </w:p>
        </w:tc>
        <w:tc>
          <w:tcPr>
            <w:tcW w:type="dxa" w:w="7160"/>
            <w:shd w:fill="FFFFFF" w:val="clear"/>
            <w:tcMar>
              <w:top w:w="80" w:type="dxa"/>
              <w:start w:w="120" w:type="dxa"/>
              <w:bottom w:w="80" w:type="dxa"/>
              <w:end w:w="120" w:type="dxa"/>
            </w:tcMar>
            <w:vAlign w:val="center"/>
          </w:tcPr>
          <w:p>
            <w:pPr>
              <w:spacing w:after="0" w:line="252" w:lineRule="auto"/>
            </w:pPr>
            <w:r>
              <w:rPr>
                <w:rFonts w:ascii="Calibri" w:hAnsi="Calibri" w:eastAsia="Calibri"/>
                <w:b w:val="0"/>
                <w:i w:val="0"/>
                <w:color w:val="17212B"/>
                <w:sz w:val="18"/>
              </w:rPr>
              <w:t>Requests assigned to the Director level.</w:t>
            </w:r>
          </w:p>
        </w:tc>
      </w:tr>
      <w:tr>
        <w:trPr>
          <w:cantSplit/>
        </w:trPr>
        <w:tc>
          <w:tcPr>
            <w:tcW w:type="dxa" w:w="2200"/>
            <w:shd w:fill="F5F7F8" w:val="clear"/>
            <w:tcMar>
              <w:top w:w="80" w:type="dxa"/>
              <w:start w:w="120" w:type="dxa"/>
              <w:bottom w:w="80" w:type="dxa"/>
              <w:end w:w="120" w:type="dxa"/>
            </w:tcMar>
            <w:vAlign w:val="center"/>
          </w:tcPr>
          <w:p>
            <w:pPr>
              <w:spacing w:after="0" w:line="252" w:lineRule="auto"/>
            </w:pPr>
            <w:r>
              <w:rPr>
                <w:rFonts w:ascii="Calibri" w:hAnsi="Calibri" w:eastAsia="Calibri"/>
                <w:b/>
                <w:i w:val="0"/>
                <w:color w:val="17212B"/>
                <w:sz w:val="18"/>
              </w:rPr>
              <w:t>Approver - Vice Rector</w:t>
            </w:r>
          </w:p>
        </w:tc>
        <w:tc>
          <w:tcPr>
            <w:tcW w:type="dxa" w:w="7160"/>
            <w:shd w:fill="F5F7F8" w:val="clear"/>
            <w:tcMar>
              <w:top w:w="80" w:type="dxa"/>
              <w:start w:w="120" w:type="dxa"/>
              <w:bottom w:w="80" w:type="dxa"/>
              <w:end w:w="120" w:type="dxa"/>
            </w:tcMar>
            <w:vAlign w:val="center"/>
          </w:tcPr>
          <w:p>
            <w:pPr>
              <w:spacing w:after="0" w:line="252" w:lineRule="auto"/>
            </w:pPr>
            <w:r>
              <w:rPr>
                <w:rFonts w:ascii="Calibri" w:hAnsi="Calibri" w:eastAsia="Calibri"/>
                <w:b w:val="0"/>
                <w:i w:val="0"/>
                <w:color w:val="17212B"/>
                <w:sz w:val="18"/>
              </w:rPr>
              <w:t>Requests assigned to the Vice Rector level.</w:t>
            </w:r>
          </w:p>
        </w:tc>
      </w:tr>
      <w:tr>
        <w:trPr>
          <w:cantSplit/>
        </w:trPr>
        <w:tc>
          <w:tcPr>
            <w:tcW w:type="dxa" w:w="2200"/>
            <w:shd w:fill="FFFFFF" w:val="clear"/>
            <w:tcMar>
              <w:top w:w="80" w:type="dxa"/>
              <w:start w:w="120" w:type="dxa"/>
              <w:bottom w:w="80" w:type="dxa"/>
              <w:end w:w="120" w:type="dxa"/>
            </w:tcMar>
            <w:vAlign w:val="center"/>
          </w:tcPr>
          <w:p>
            <w:pPr>
              <w:spacing w:after="0" w:line="252" w:lineRule="auto"/>
            </w:pPr>
            <w:r>
              <w:rPr>
                <w:rFonts w:ascii="Calibri" w:hAnsi="Calibri" w:eastAsia="Calibri"/>
                <w:b/>
                <w:i w:val="0"/>
                <w:color w:val="17212B"/>
                <w:sz w:val="18"/>
              </w:rPr>
              <w:t>Accounting</w:t>
            </w:r>
          </w:p>
        </w:tc>
        <w:tc>
          <w:tcPr>
            <w:tcW w:type="dxa" w:w="7160"/>
            <w:shd w:fill="FFFFFF" w:val="clear"/>
            <w:tcMar>
              <w:top w:w="80" w:type="dxa"/>
              <w:start w:w="120" w:type="dxa"/>
              <w:bottom w:w="80" w:type="dxa"/>
              <w:end w:w="120" w:type="dxa"/>
            </w:tcMar>
            <w:vAlign w:val="center"/>
          </w:tcPr>
          <w:p>
            <w:pPr>
              <w:spacing w:after="0" w:line="252" w:lineRule="auto"/>
            </w:pPr>
            <w:r>
              <w:rPr>
                <w:rFonts w:ascii="Calibri" w:hAnsi="Calibri" w:eastAsia="Calibri"/>
                <w:b w:val="0"/>
                <w:i w:val="0"/>
                <w:color w:val="17212B"/>
                <w:sz w:val="18"/>
              </w:rPr>
              <w:t>Supplier homologation, periods, fiscal processing, CXP, journals, FX, SIRE, and audit.</w:t>
            </w:r>
          </w:p>
        </w:tc>
      </w:tr>
      <w:tr>
        <w:trPr>
          <w:cantSplit/>
        </w:trPr>
        <w:tc>
          <w:tcPr>
            <w:tcW w:type="dxa" w:w="2200"/>
            <w:shd w:fill="F5F7F8" w:val="clear"/>
            <w:tcMar>
              <w:top w:w="80" w:type="dxa"/>
              <w:start w:w="120" w:type="dxa"/>
              <w:bottom w:w="80" w:type="dxa"/>
              <w:end w:w="120" w:type="dxa"/>
            </w:tcMar>
            <w:vAlign w:val="center"/>
          </w:tcPr>
          <w:p>
            <w:pPr>
              <w:spacing w:after="0" w:line="252" w:lineRule="auto"/>
            </w:pPr>
            <w:r>
              <w:rPr>
                <w:rFonts w:ascii="Calibri" w:hAnsi="Calibri" w:eastAsia="Calibri"/>
                <w:b/>
                <w:i w:val="0"/>
                <w:color w:val="17212B"/>
                <w:sz w:val="18"/>
              </w:rPr>
              <w:t>Treasury</w:t>
            </w:r>
          </w:p>
        </w:tc>
        <w:tc>
          <w:tcPr>
            <w:tcW w:type="dxa" w:w="7160"/>
            <w:shd w:fill="F5F7F8" w:val="clear"/>
            <w:tcMar>
              <w:top w:w="80" w:type="dxa"/>
              <w:start w:w="120" w:type="dxa"/>
              <w:bottom w:w="80" w:type="dxa"/>
              <w:end w:w="120" w:type="dxa"/>
            </w:tcMar>
            <w:vAlign w:val="center"/>
          </w:tcPr>
          <w:p>
            <w:pPr>
              <w:spacing w:after="0" w:line="252" w:lineRule="auto"/>
            </w:pPr>
            <w:r>
              <w:rPr>
                <w:rFonts w:ascii="Calibri" w:hAnsi="Calibri" w:eastAsia="Calibri"/>
                <w:b w:val="0"/>
                <w:i w:val="0"/>
                <w:color w:val="17212B"/>
                <w:sz w:val="18"/>
              </w:rPr>
              <w:t>Payable scheduling, bank files, actual payment confirmation, and reconciliation.</w:t>
            </w:r>
          </w:p>
        </w:tc>
      </w:tr>
      <w:tr>
        <w:trPr>
          <w:cantSplit/>
        </w:trPr>
        <w:tc>
          <w:tcPr>
            <w:tcW w:type="dxa" w:w="2200"/>
            <w:shd w:fill="FFFFFF" w:val="clear"/>
            <w:tcMar>
              <w:top w:w="80" w:type="dxa"/>
              <w:start w:w="120" w:type="dxa"/>
              <w:bottom w:w="80" w:type="dxa"/>
              <w:end w:w="120" w:type="dxa"/>
            </w:tcMar>
            <w:vAlign w:val="center"/>
          </w:tcPr>
          <w:p>
            <w:pPr>
              <w:spacing w:after="0" w:line="252" w:lineRule="auto"/>
            </w:pPr>
            <w:r>
              <w:rPr>
                <w:rFonts w:ascii="Calibri" w:hAnsi="Calibri" w:eastAsia="Calibri"/>
                <w:b/>
                <w:i w:val="0"/>
                <w:color w:val="17212B"/>
                <w:sz w:val="18"/>
              </w:rPr>
              <w:t>Budget</w:t>
            </w:r>
          </w:p>
        </w:tc>
        <w:tc>
          <w:tcPr>
            <w:tcW w:type="dxa" w:w="7160"/>
            <w:shd w:fill="FFFFFF" w:val="clear"/>
            <w:tcMar>
              <w:top w:w="80" w:type="dxa"/>
              <w:start w:w="120" w:type="dxa"/>
              <w:bottom w:w="80" w:type="dxa"/>
              <w:end w:w="120" w:type="dxa"/>
            </w:tcMar>
            <w:vAlign w:val="center"/>
          </w:tcPr>
          <w:p>
            <w:pPr>
              <w:spacing w:after="0" w:line="252" w:lineRule="auto"/>
            </w:pPr>
            <w:r>
              <w:rPr>
                <w:rFonts w:ascii="Calibri" w:hAnsi="Calibri" w:eastAsia="Calibri"/>
                <w:b w:val="0"/>
                <w:i w:val="0"/>
                <w:color w:val="17212B"/>
                <w:sz w:val="18"/>
              </w:rPr>
              <w:t>Allocations, commitments, exceptions, and budget monitoring.</w:t>
            </w:r>
          </w:p>
        </w:tc>
      </w:tr>
      <w:tr>
        <w:trPr>
          <w:cantSplit/>
        </w:trPr>
        <w:tc>
          <w:tcPr>
            <w:tcW w:type="dxa" w:w="2200"/>
            <w:shd w:fill="F5F7F8" w:val="clear"/>
            <w:tcMar>
              <w:top w:w="80" w:type="dxa"/>
              <w:start w:w="120" w:type="dxa"/>
              <w:bottom w:w="80" w:type="dxa"/>
              <w:end w:w="120" w:type="dxa"/>
            </w:tcMar>
            <w:vAlign w:val="center"/>
          </w:tcPr>
          <w:p>
            <w:pPr>
              <w:spacing w:after="0" w:line="252" w:lineRule="auto"/>
            </w:pPr>
            <w:r>
              <w:rPr>
                <w:rFonts w:ascii="Calibri" w:hAnsi="Calibri" w:eastAsia="Calibri"/>
                <w:b/>
                <w:i w:val="0"/>
                <w:color w:val="17212B"/>
                <w:sz w:val="18"/>
              </w:rPr>
              <w:t>Management</w:t>
            </w:r>
          </w:p>
        </w:tc>
        <w:tc>
          <w:tcPr>
            <w:tcW w:type="dxa" w:w="7160"/>
            <w:shd w:fill="F5F7F8" w:val="clear"/>
            <w:tcMar>
              <w:top w:w="80" w:type="dxa"/>
              <w:start w:w="120" w:type="dxa"/>
              <w:bottom w:w="80" w:type="dxa"/>
              <w:end w:w="120" w:type="dxa"/>
            </w:tcMar>
            <w:vAlign w:val="center"/>
          </w:tcPr>
          <w:p>
            <w:pPr>
              <w:spacing w:after="0" w:line="252" w:lineRule="auto"/>
            </w:pPr>
            <w:r>
              <w:rPr>
                <w:rFonts w:ascii="Calibri" w:hAnsi="Calibri" w:eastAsia="Calibri"/>
                <w:b w:val="0"/>
                <w:i w:val="0"/>
                <w:color w:val="17212B"/>
                <w:sz w:val="18"/>
              </w:rPr>
              <w:t>Executive dashboards/reports and configured extraordinary approvals.</w:t>
            </w:r>
          </w:p>
        </w:tc>
      </w:tr>
    </w:tbl>
    <w:p>
      <w:pPr>
        <w:spacing w:after="40"/>
      </w:pPr>
    </w:p>
    <w:p>
      <w:r>
        <w:rPr>
          <w:rFonts w:ascii="Calibri" w:hAnsi="Calibri" w:eastAsia="Calibri"/>
          <w:b w:val="0"/>
          <w:i w:val="0"/>
          <w:color w:val="17212B"/>
          <w:sz w:val="22"/>
        </w:rPr>
        <w:t>The server checks permission again for every action. Seeing or hiding a button is not the only protection.</w:t>
      </w:r>
    </w:p>
    <w:p>
      <w:pPr>
        <w:pStyle w:val="Heading1"/>
      </w:pPr>
      <w:r>
        <w:t>4. Dashboard</w:t>
      </w:r>
    </w:p>
    <w:p>
      <w:pPr>
        <w:keepNext/>
        <w:spacing w:before="40" w:after="0"/>
        <w:jc w:val="center"/>
      </w:pPr>
      <w:r>
        <w:drawing>
          <wp:inline xmlns:a="http://schemas.openxmlformats.org/drawingml/2006/main" xmlns:pic="http://schemas.openxmlformats.org/drawingml/2006/picture">
            <wp:extent cx="5715000" cy="4284896"/>
            <wp:docPr id="3" name="Picture 3" title="Role-specific admin dashboard" descr="Desktop dashboard showing dark navigation, recent requests, status distribution and task counters."/>
            <wp:cNvGraphicFramePr>
              <a:graphicFrameLocks noChangeAspect="1"/>
            </wp:cNvGraphicFramePr>
            <a:graphic>
              <a:graphicData uri="http://schemas.openxmlformats.org/drawingml/2006/picture">
                <pic:pic>
                  <pic:nvPicPr>
                    <pic:cNvPr id="0" name="admin-dashboard-final-1280.jpg"/>
                    <pic:cNvPicPr/>
                  </pic:nvPicPr>
                  <pic:blipFill>
                    <a:blip r:embed="rId13"/>
                    <a:stretch>
                      <a:fillRect/>
                    </a:stretch>
                  </pic:blipFill>
                  <pic:spPr>
                    <a:xfrm>
                      <a:off x="0" y="0"/>
                      <a:ext cx="5715000" cy="4284896"/>
                    </a:xfrm>
                    <a:prstGeom prst="rect"/>
                  </pic:spPr>
                </pic:pic>
              </a:graphicData>
            </a:graphic>
          </wp:inline>
        </w:drawing>
      </w:r>
    </w:p>
    <w:p>
      <w:pPr>
        <w:pStyle w:val="Caption"/>
        <w:jc w:val="center"/>
      </w:pPr>
      <w:r>
        <w:rPr>
          <w:rFonts w:ascii="Calibri" w:hAnsi="Calibri" w:eastAsia="Calibri"/>
          <w:b w:val="0"/>
          <w:i w:val="0"/>
          <w:color w:val="5D6A75"/>
          <w:sz w:val="17"/>
        </w:rPr>
        <w:t>Example: the Admin dashboard summarizes live requests, users and workflow health.</w:t>
      </w:r>
    </w:p>
    <w:p>
      <w:r>
        <w:rPr>
          <w:rFonts w:ascii="Calibri" w:hAnsi="Calibri" w:eastAsia="Calibri"/>
          <w:b w:val="0"/>
          <w:i w:val="0"/>
          <w:color w:val="17212B"/>
          <w:sz w:val="22"/>
        </w:rPr>
        <w:t>The Dashboard changes by role.</w:t>
      </w:r>
    </w:p>
    <w:p>
      <w:pPr>
        <w:numPr>
          <w:ilvl w:val="0"/>
          <w:numId w:val="10"/>
        </w:numPr>
        <w:spacing w:after="80" w:line="300" w:lineRule="auto"/>
        <w:ind w:left="540" w:hanging="271"/>
      </w:pPr>
      <w:r>
        <w:rPr>
          <w:rFonts w:ascii="Calibri" w:hAnsi="Calibri" w:eastAsia="Calibri"/>
          <w:b/>
          <w:i w:val="0"/>
          <w:color w:val="17212B"/>
          <w:sz w:val="21"/>
        </w:rPr>
        <w:t>Solicitor:</w:t>
      </w:r>
      <w:r>
        <w:rPr>
          <w:rFonts w:ascii="Calibri" w:hAnsi="Calibri" w:eastAsia="Calibri"/>
          <w:b w:val="0"/>
          <w:i w:val="0"/>
          <w:color w:val="17212B"/>
          <w:sz w:val="21"/>
        </w:rPr>
        <w:t xml:space="preserve"> drafts, observed/returned work, approvals in progress, rendition tasks, and recent requests.</w:t>
      </w:r>
    </w:p>
    <w:p>
      <w:pPr>
        <w:numPr>
          <w:ilvl w:val="0"/>
          <w:numId w:val="10"/>
        </w:numPr>
        <w:spacing w:after="80" w:line="300" w:lineRule="auto"/>
        <w:ind w:left="540" w:hanging="271"/>
      </w:pPr>
      <w:r>
        <w:rPr>
          <w:rFonts w:ascii="Calibri" w:hAnsi="Calibri" w:eastAsia="Calibri"/>
          <w:b/>
          <w:i w:val="0"/>
          <w:color w:val="17212B"/>
          <w:sz w:val="21"/>
        </w:rPr>
        <w:t>Approver:</w:t>
      </w:r>
      <w:r>
        <w:rPr>
          <w:rFonts w:ascii="Calibri" w:hAnsi="Calibri" w:eastAsia="Calibri"/>
          <w:b w:val="0"/>
          <w:i w:val="0"/>
          <w:color w:val="17212B"/>
          <w:sz w:val="21"/>
        </w:rPr>
        <w:t xml:space="preserve"> pending count, PEN amount waiting, oldest item, SLA severity, and recent decisions.</w:t>
      </w:r>
    </w:p>
    <w:p>
      <w:pPr>
        <w:numPr>
          <w:ilvl w:val="0"/>
          <w:numId w:val="10"/>
        </w:numPr>
        <w:spacing w:after="80" w:line="300" w:lineRule="auto"/>
        <w:ind w:left="540" w:hanging="271"/>
      </w:pPr>
      <w:r>
        <w:rPr>
          <w:rFonts w:ascii="Calibri" w:hAnsi="Calibri" w:eastAsia="Calibri"/>
          <w:b/>
          <w:i w:val="0"/>
          <w:color w:val="17212B"/>
          <w:sz w:val="21"/>
        </w:rPr>
        <w:t>Accounting:</w:t>
      </w:r>
      <w:r>
        <w:rPr>
          <w:rFonts w:ascii="Calibri" w:hAnsi="Calibri" w:eastAsia="Calibri"/>
          <w:b w:val="0"/>
          <w:i w:val="0"/>
          <w:color w:val="17212B"/>
          <w:sz w:val="21"/>
        </w:rPr>
        <w:t xml:space="preserve"> open period, fiscal queue, CXP, debit/credit totals, missing rates, and closing work.</w:t>
      </w:r>
    </w:p>
    <w:p>
      <w:pPr>
        <w:numPr>
          <w:ilvl w:val="0"/>
          <w:numId w:val="10"/>
        </w:numPr>
        <w:spacing w:after="80" w:line="300" w:lineRule="auto"/>
        <w:ind w:left="540" w:hanging="271"/>
      </w:pPr>
      <w:r>
        <w:rPr>
          <w:rFonts w:ascii="Calibri" w:hAnsi="Calibri" w:eastAsia="Calibri"/>
          <w:b/>
          <w:i w:val="0"/>
          <w:color w:val="17212B"/>
          <w:sz w:val="21"/>
        </w:rPr>
        <w:t>Treasury:</w:t>
      </w:r>
      <w:r>
        <w:rPr>
          <w:rFonts w:ascii="Calibri" w:hAnsi="Calibri" w:eastAsia="Calibri"/>
          <w:b w:val="0"/>
          <w:i w:val="0"/>
          <w:color w:val="17212B"/>
          <w:sz w:val="21"/>
        </w:rPr>
        <w:t xml:space="preserve"> payable queue, PEN/USD totals, missing bank details, recent files, confirmations, and reconciliation.</w:t>
      </w:r>
    </w:p>
    <w:p>
      <w:pPr>
        <w:numPr>
          <w:ilvl w:val="0"/>
          <w:numId w:val="10"/>
        </w:numPr>
        <w:spacing w:after="80" w:line="300" w:lineRule="auto"/>
        <w:ind w:left="540" w:hanging="271"/>
      </w:pPr>
      <w:r>
        <w:rPr>
          <w:rFonts w:ascii="Calibri" w:hAnsi="Calibri" w:eastAsia="Calibri"/>
          <w:b/>
          <w:i w:val="0"/>
          <w:color w:val="17212B"/>
          <w:sz w:val="21"/>
        </w:rPr>
        <w:t>Budget:</w:t>
      </w:r>
      <w:r>
        <w:rPr>
          <w:rFonts w:ascii="Calibri" w:hAnsi="Calibri" w:eastAsia="Calibri"/>
          <w:b w:val="0"/>
          <w:i w:val="0"/>
          <w:color w:val="17212B"/>
          <w:sz w:val="21"/>
        </w:rPr>
        <w:t xml:space="preserve"> Assigned, Committed, Executed, Paid, Available, and low-balance/exception alerts.</w:t>
      </w:r>
    </w:p>
    <w:p>
      <w:pPr>
        <w:numPr>
          <w:ilvl w:val="0"/>
          <w:numId w:val="10"/>
        </w:numPr>
        <w:spacing w:after="80" w:line="300" w:lineRule="auto"/>
        <w:ind w:left="540" w:hanging="271"/>
      </w:pPr>
      <w:r>
        <w:rPr>
          <w:rFonts w:ascii="Calibri" w:hAnsi="Calibri" w:eastAsia="Calibri"/>
          <w:b/>
          <w:i w:val="0"/>
          <w:color w:val="17212B"/>
          <w:sz w:val="21"/>
        </w:rPr>
        <w:t>Management:</w:t>
      </w:r>
      <w:r>
        <w:rPr>
          <w:rFonts w:ascii="Calibri" w:hAnsi="Calibri" w:eastAsia="Calibri"/>
          <w:b w:val="0"/>
          <w:i w:val="0"/>
          <w:color w:val="17212B"/>
          <w:sz w:val="21"/>
        </w:rPr>
        <w:t xml:space="preserve"> global execution, CAPEX versus OPEX, area/project trends, and pending commitments.</w:t>
      </w:r>
    </w:p>
    <w:p>
      <w:pPr>
        <w:numPr>
          <w:ilvl w:val="0"/>
          <w:numId w:val="10"/>
        </w:numPr>
        <w:spacing w:after="80" w:line="300" w:lineRule="auto"/>
        <w:ind w:left="540" w:hanging="271"/>
      </w:pPr>
      <w:r>
        <w:rPr>
          <w:rFonts w:ascii="Calibri" w:hAnsi="Calibri" w:eastAsia="Calibri"/>
          <w:b/>
          <w:i w:val="0"/>
          <w:color w:val="17212B"/>
          <w:sz w:val="21"/>
        </w:rPr>
        <w:t>Admin:</w:t>
      </w:r>
      <w:r>
        <w:rPr>
          <w:rFonts w:ascii="Calibri" w:hAnsi="Calibri" w:eastAsia="Calibri"/>
          <w:b w:val="0"/>
          <w:i w:val="0"/>
          <w:color w:val="17212B"/>
          <w:sz w:val="21"/>
        </w:rPr>
        <w:t xml:space="preserve"> system totals, users, workflow health, master-data warnings, and activity.</w:t>
      </w:r>
    </w:p>
    <w:p>
      <w:r>
        <w:rPr>
          <w:rFonts w:ascii="Calibri" w:hAnsi="Calibri" w:eastAsia="Calibri"/>
          <w:b w:val="0"/>
          <w:i w:val="0"/>
          <w:color w:val="17212B"/>
          <w:sz w:val="22"/>
        </w:rPr>
        <w:t>Select a task or table row to open the related page.</w:t>
      </w:r>
    </w:p>
    <w:p>
      <w:pPr>
        <w:pStyle w:val="Heading1"/>
      </w:pPr>
      <w:r>
        <w:t>5. Create or Correct a Request</w:t>
      </w:r>
    </w:p>
    <w:p>
      <w:r>
        <w:rPr>
          <w:rFonts w:ascii="Calibri" w:hAnsi="Calibri" w:eastAsia="Calibri"/>
          <w:b w:val="0"/>
          <w:i w:val="0"/>
          <w:color w:val="17212B"/>
          <w:sz w:val="22"/>
        </w:rPr>
        <w:t xml:space="preserve">Go to </w:t>
      </w:r>
      <w:r>
        <w:rPr>
          <w:rFonts w:ascii="Calibri" w:hAnsi="Calibri" w:eastAsia="Calibri"/>
          <w:b/>
          <w:i w:val="0"/>
          <w:color w:val="17212B"/>
          <w:sz w:val="22"/>
        </w:rPr>
        <w:t>Requests</w:t>
      </w:r>
      <w:r>
        <w:rPr>
          <w:rFonts w:ascii="Calibri" w:hAnsi="Calibri" w:eastAsia="Calibri"/>
          <w:b w:val="0"/>
          <w:i w:val="0"/>
          <w:color w:val="17212B"/>
          <w:sz w:val="22"/>
        </w:rPr>
        <w:t xml:space="preserve"> and select </w:t>
      </w:r>
      <w:r>
        <w:rPr>
          <w:rFonts w:ascii="Calibri" w:hAnsi="Calibri" w:eastAsia="Calibri"/>
          <w:b/>
          <w:i w:val="0"/>
          <w:color w:val="17212B"/>
          <w:sz w:val="22"/>
        </w:rPr>
        <w:t>New request</w:t>
      </w:r>
      <w:r>
        <w:rPr>
          <w:rFonts w:ascii="Calibri" w:hAnsi="Calibri" w:eastAsia="Calibri"/>
          <w:b w:val="0"/>
          <w:i w:val="0"/>
          <w:color w:val="17212B"/>
          <w:sz w:val="22"/>
        </w:rPr>
        <w:t>. The wizard has four steps.</w:t>
      </w:r>
    </w:p>
    <w:p>
      <w:pPr>
        <w:pStyle w:val="Heading2"/>
      </w:pPr>
      <w:r>
        <w:t>Step 1 - Basic information</w:t>
      </w:r>
    </w:p>
    <w:p>
      <w:r>
        <w:rPr>
          <w:rFonts w:ascii="Calibri" w:hAnsi="Calibri" w:eastAsia="Calibri"/>
          <w:b w:val="0"/>
          <w:i w:val="0"/>
          <w:color w:val="17212B"/>
          <w:sz w:val="22"/>
        </w:rPr>
        <w:t>Choose Request Type, Expense Nature, issue date/period, supplier, priority, currency, project if applicable, and enter a clear business justification. The system suggests the Solicitor's Cost Center. A Solicitor can use another Cost Center only if it is authorized in the user profile.</w:t>
      </w:r>
    </w:p>
    <w:p>
      <w:r>
        <w:rPr>
          <w:rFonts w:ascii="Calibri" w:hAnsi="Calibri" w:eastAsia="Calibri"/>
          <w:b w:val="0"/>
          <w:i w:val="0"/>
          <w:color w:val="17212B"/>
          <w:sz w:val="22"/>
        </w:rPr>
        <w:t>Request types are OPEX, CAPEX, Entrega a Rendir, Reembolso con Sustento, Reembolso sin Sustento, and Pago con Cotizacion. Expense Nature describes what is being purchased; it is separate from workflow type.</w:t>
      </w:r>
    </w:p>
    <w:p>
      <w:r>
        <w:rPr>
          <w:rFonts w:ascii="Calibri" w:hAnsi="Calibri" w:eastAsia="Calibri"/>
          <w:b w:val="0"/>
          <w:i w:val="0"/>
          <w:color w:val="17212B"/>
          <w:sz w:val="22"/>
        </w:rPr>
        <w:t>For USD, an exact rate for the issue date is required. PEN always uses 1.</w:t>
      </w:r>
    </w:p>
    <w:p>
      <w:pPr>
        <w:pStyle w:val="Heading2"/>
      </w:pPr>
      <w:r>
        <w:t>Step 2 - Accounting lines</w:t>
      </w:r>
    </w:p>
    <w:p>
      <w:r>
        <w:rPr>
          <w:rFonts w:ascii="Calibri" w:hAnsi="Calibri" w:eastAsia="Calibri"/>
          <w:b w:val="0"/>
          <w:i w:val="0"/>
          <w:color w:val="17212B"/>
          <w:sz w:val="22"/>
        </w:rPr>
        <w:t>Add one or more lines. Every line needs:</w:t>
      </w:r>
    </w:p>
    <w:p>
      <w:pPr>
        <w:numPr>
          <w:ilvl w:val="0"/>
          <w:numId w:val="10"/>
        </w:numPr>
        <w:spacing w:after="80" w:line="300" w:lineRule="auto"/>
        <w:ind w:left="540" w:hanging="271"/>
      </w:pPr>
      <w:r>
        <w:rPr>
          <w:rFonts w:ascii="Calibri" w:hAnsi="Calibri" w:eastAsia="Calibri"/>
          <w:b w:val="0"/>
          <w:i w:val="0"/>
          <w:color w:val="17212B"/>
          <w:sz w:val="21"/>
        </w:rPr>
        <w:t>Cost Center.</w:t>
      </w:r>
    </w:p>
    <w:p>
      <w:pPr>
        <w:numPr>
          <w:ilvl w:val="0"/>
          <w:numId w:val="10"/>
        </w:numPr>
        <w:spacing w:after="80" w:line="300" w:lineRule="auto"/>
        <w:ind w:left="540" w:hanging="271"/>
      </w:pPr>
      <w:r>
        <w:rPr>
          <w:rFonts w:ascii="Calibri" w:hAnsi="Calibri" w:eastAsia="Calibri"/>
          <w:b w:val="0"/>
          <w:i w:val="0"/>
          <w:color w:val="17212B"/>
          <w:sz w:val="21"/>
        </w:rPr>
        <w:t>Expense Type/ledger account.</w:t>
      </w:r>
    </w:p>
    <w:p>
      <w:pPr>
        <w:numPr>
          <w:ilvl w:val="0"/>
          <w:numId w:val="10"/>
        </w:numPr>
        <w:spacing w:after="80" w:line="300" w:lineRule="auto"/>
        <w:ind w:left="540" w:hanging="271"/>
      </w:pPr>
      <w:r>
        <w:rPr>
          <w:rFonts w:ascii="Calibri" w:hAnsi="Calibri" w:eastAsia="Calibri"/>
          <w:b w:val="0"/>
          <w:i w:val="0"/>
          <w:color w:val="17212B"/>
          <w:sz w:val="21"/>
        </w:rPr>
        <w:t>Net.</w:t>
      </w:r>
    </w:p>
    <w:p>
      <w:pPr>
        <w:numPr>
          <w:ilvl w:val="0"/>
          <w:numId w:val="10"/>
        </w:numPr>
        <w:spacing w:after="80" w:line="300" w:lineRule="auto"/>
        <w:ind w:left="540" w:hanging="271"/>
      </w:pPr>
      <w:r>
        <w:rPr>
          <w:rFonts w:ascii="Calibri" w:hAnsi="Calibri" w:eastAsia="Calibri"/>
          <w:b w:val="0"/>
          <w:i w:val="0"/>
          <w:color w:val="17212B"/>
          <w:sz w:val="21"/>
        </w:rPr>
        <w:t>IGV.</w:t>
      </w:r>
    </w:p>
    <w:p>
      <w:pPr>
        <w:numPr>
          <w:ilvl w:val="0"/>
          <w:numId w:val="10"/>
        </w:numPr>
        <w:spacing w:after="80" w:line="300" w:lineRule="auto"/>
        <w:ind w:left="540" w:hanging="271"/>
      </w:pPr>
      <w:r>
        <w:rPr>
          <w:rFonts w:ascii="Calibri" w:hAnsi="Calibri" w:eastAsia="Calibri"/>
          <w:b w:val="0"/>
          <w:i w:val="0"/>
          <w:color w:val="17212B"/>
          <w:sz w:val="21"/>
        </w:rPr>
        <w:t>Total.</w:t>
      </w:r>
    </w:p>
    <w:p>
      <w:r>
        <w:rPr>
          <w:rFonts w:ascii="Calibri" w:hAnsi="Calibri" w:eastAsia="Calibri"/>
          <w:b w:val="0"/>
          <w:i w:val="0"/>
          <w:color w:val="17212B"/>
          <w:sz w:val="22"/>
        </w:rPr>
        <w:t>The system calculates totals and PEN equivalent. It warns if Net + IGV is not Total. OPEX, CAPEX, and unsupported reimbursement account mappings are validated by the backend.</w:t>
      </w:r>
    </w:p>
    <w:p>
      <w:pPr>
        <w:pStyle w:val="Heading2"/>
      </w:pPr>
      <w:r>
        <w:t>Step 3 - Documents</w:t>
      </w:r>
    </w:p>
    <w:p>
      <w:r>
        <w:rPr>
          <w:rFonts w:ascii="Calibri" w:hAnsi="Calibri" w:eastAsia="Calibri"/>
          <w:b w:val="0"/>
          <w:i w:val="0"/>
          <w:color w:val="17212B"/>
          <w:sz w:val="22"/>
        </w:rPr>
        <w:t>The page explains the documents required by the selected type/nature. Examples:</w:t>
      </w:r>
    </w:p>
    <w:p>
      <w:pPr>
        <w:numPr>
          <w:ilvl w:val="0"/>
          <w:numId w:val="10"/>
        </w:numPr>
        <w:spacing w:after="80" w:line="300" w:lineRule="auto"/>
        <w:ind w:left="540" w:hanging="271"/>
      </w:pPr>
      <w:r>
        <w:rPr>
          <w:rFonts w:ascii="Calibri" w:hAnsi="Calibri" w:eastAsia="Calibri"/>
          <w:b w:val="0"/>
          <w:i w:val="0"/>
          <w:color w:val="17212B"/>
          <w:sz w:val="21"/>
        </w:rPr>
        <w:t>Goods: at least three quotations plus invoice/voucher; purchase order where applicable.</w:t>
      </w:r>
    </w:p>
    <w:p>
      <w:pPr>
        <w:numPr>
          <w:ilvl w:val="0"/>
          <w:numId w:val="10"/>
        </w:numPr>
        <w:spacing w:after="80" w:line="300" w:lineRule="auto"/>
        <w:ind w:left="540" w:hanging="271"/>
      </w:pPr>
      <w:r>
        <w:rPr>
          <w:rFonts w:ascii="Calibri" w:hAnsi="Calibri" w:eastAsia="Calibri"/>
          <w:b w:val="0"/>
          <w:i w:val="0"/>
          <w:color w:val="17212B"/>
          <w:sz w:val="21"/>
        </w:rPr>
        <w:t>Services: invoice, signed contract, and conformity/report.</w:t>
      </w:r>
    </w:p>
    <w:p>
      <w:pPr>
        <w:numPr>
          <w:ilvl w:val="0"/>
          <w:numId w:val="10"/>
        </w:numPr>
        <w:spacing w:after="80" w:line="300" w:lineRule="auto"/>
        <w:ind w:left="540" w:hanging="271"/>
      </w:pPr>
      <w:r>
        <w:rPr>
          <w:rFonts w:ascii="Calibri" w:hAnsi="Calibri" w:eastAsia="Calibri"/>
          <w:b w:val="0"/>
          <w:i w:val="0"/>
          <w:color w:val="17212B"/>
          <w:sz w:val="21"/>
        </w:rPr>
        <w:t>Pago con Cotizacion and Reembolso con Sustento: XML and PDF.</w:t>
      </w:r>
    </w:p>
    <w:p>
      <w:pPr>
        <w:numPr>
          <w:ilvl w:val="0"/>
          <w:numId w:val="10"/>
        </w:numPr>
        <w:spacing w:after="80" w:line="300" w:lineRule="auto"/>
        <w:ind w:left="540" w:hanging="271"/>
      </w:pPr>
      <w:r>
        <w:rPr>
          <w:rFonts w:ascii="Calibri" w:hAnsi="Calibri" w:eastAsia="Calibri"/>
          <w:b w:val="0"/>
          <w:i w:val="0"/>
          <w:color w:val="17212B"/>
          <w:sz w:val="21"/>
        </w:rPr>
        <w:t>Petty cash or liquidation: supporting evidence.</w:t>
      </w:r>
    </w:p>
    <w:p>
      <w:r>
        <w:rPr>
          <w:rFonts w:ascii="Calibri" w:hAnsi="Calibri" w:eastAsia="Calibri"/>
          <w:b w:val="0"/>
          <w:i w:val="0"/>
          <w:color w:val="17212B"/>
          <w:sz w:val="22"/>
        </w:rPr>
        <w:t>For required XML, the server compares supplier identifier, voucher data, date, Net, IGV, and Total when present. XML fiscal totals are authoritative. A mismatch blocks the request and is recorded.</w:t>
      </w:r>
    </w:p>
    <w:p>
      <w:pPr>
        <w:pStyle w:val="Heading2"/>
      </w:pPr>
      <w:r>
        <w:t>Step 4 - Review and submit</w:t>
      </w:r>
    </w:p>
    <w:p>
      <w:r>
        <w:rPr>
          <w:rFonts w:ascii="Calibri" w:hAnsi="Calibri" w:eastAsia="Calibri"/>
          <w:b w:val="0"/>
          <w:i w:val="0"/>
          <w:color w:val="17212B"/>
          <w:sz w:val="22"/>
        </w:rPr>
        <w:t xml:space="preserve">Check header, supplier, totals, lines, and documents. Select </w:t>
      </w:r>
      <w:r>
        <w:rPr>
          <w:rFonts w:ascii="Calibri" w:hAnsi="Calibri" w:eastAsia="Calibri"/>
          <w:b/>
          <w:i w:val="0"/>
          <w:color w:val="17212B"/>
          <w:sz w:val="22"/>
        </w:rPr>
        <w:t>Submit request</w:t>
      </w:r>
      <w:r>
        <w:rPr>
          <w:rFonts w:ascii="Calibri" w:hAnsi="Calibri" w:eastAsia="Calibri"/>
          <w:b w:val="0"/>
          <w:i w:val="0"/>
          <w:color w:val="17212B"/>
          <w:sz w:val="22"/>
        </w:rPr>
        <w:t xml:space="preserve"> only when complete. Use </w:t>
      </w:r>
      <w:r>
        <w:rPr>
          <w:rFonts w:ascii="Calibri" w:hAnsi="Calibri" w:eastAsia="Calibri"/>
          <w:b/>
          <w:i w:val="0"/>
          <w:color w:val="17212B"/>
          <w:sz w:val="22"/>
        </w:rPr>
        <w:t>Save draft</w:t>
      </w:r>
      <w:r>
        <w:rPr>
          <w:rFonts w:ascii="Calibri" w:hAnsi="Calibri" w:eastAsia="Calibri"/>
          <w:b w:val="0"/>
          <w:i w:val="0"/>
          <w:color w:val="17212B"/>
          <w:sz w:val="22"/>
        </w:rPr>
        <w:t xml:space="preserve"> to continue later. Draft save status is visible, and moving backward does not remove entered data.</w:t>
      </w:r>
    </w:p>
    <w:p>
      <w:r>
        <w:rPr>
          <w:rFonts w:ascii="Calibri" w:hAnsi="Calibri" w:eastAsia="Calibri"/>
          <w:b w:val="0"/>
          <w:i w:val="0"/>
          <w:color w:val="17212B"/>
          <w:sz w:val="22"/>
        </w:rPr>
        <w:t>From the Requests row menu:</w:t>
      </w:r>
    </w:p>
    <w:p>
      <w:pPr>
        <w:numPr>
          <w:ilvl w:val="0"/>
          <w:numId w:val="10"/>
        </w:numPr>
        <w:spacing w:after="80" w:line="300" w:lineRule="auto"/>
        <w:ind w:left="540" w:hanging="271"/>
      </w:pPr>
      <w:r>
        <w:rPr>
          <w:rFonts w:ascii="Calibri" w:hAnsi="Calibri" w:eastAsia="Calibri"/>
          <w:b/>
          <w:i w:val="0"/>
          <w:color w:val="17212B"/>
          <w:sz w:val="21"/>
        </w:rPr>
        <w:t>Quick view:</w:t>
      </w:r>
      <w:r>
        <w:rPr>
          <w:rFonts w:ascii="Calibri" w:hAnsi="Calibri" w:eastAsia="Calibri"/>
          <w:b w:val="0"/>
          <w:i w:val="0"/>
          <w:color w:val="17212B"/>
          <w:sz w:val="21"/>
        </w:rPr>
        <w:t xml:space="preserve"> opens a side panel without leaving the list.</w:t>
      </w:r>
    </w:p>
    <w:p>
      <w:pPr>
        <w:numPr>
          <w:ilvl w:val="0"/>
          <w:numId w:val="10"/>
        </w:numPr>
        <w:spacing w:after="80" w:line="300" w:lineRule="auto"/>
        <w:ind w:left="540" w:hanging="271"/>
      </w:pPr>
      <w:r>
        <w:rPr>
          <w:rFonts w:ascii="Calibri" w:hAnsi="Calibri" w:eastAsia="Calibri"/>
          <w:b/>
          <w:i w:val="0"/>
          <w:color w:val="17212B"/>
          <w:sz w:val="21"/>
        </w:rPr>
        <w:t>View details:</w:t>
      </w:r>
      <w:r>
        <w:rPr>
          <w:rFonts w:ascii="Calibri" w:hAnsi="Calibri" w:eastAsia="Calibri"/>
          <w:b w:val="0"/>
          <w:i w:val="0"/>
          <w:color w:val="17212B"/>
          <w:sz w:val="21"/>
        </w:rPr>
        <w:t xml:space="preserve"> opens the complete record.</w:t>
      </w:r>
    </w:p>
    <w:p>
      <w:pPr>
        <w:numPr>
          <w:ilvl w:val="0"/>
          <w:numId w:val="10"/>
        </w:numPr>
        <w:spacing w:after="80" w:line="300" w:lineRule="auto"/>
        <w:ind w:left="540" w:hanging="271"/>
      </w:pPr>
      <w:r>
        <w:rPr>
          <w:rFonts w:ascii="Calibri" w:hAnsi="Calibri" w:eastAsia="Calibri"/>
          <w:b/>
          <w:i w:val="0"/>
          <w:color w:val="17212B"/>
          <w:sz w:val="21"/>
        </w:rPr>
        <w:t>Edit:</w:t>
      </w:r>
      <w:r>
        <w:rPr>
          <w:rFonts w:ascii="Calibri" w:hAnsi="Calibri" w:eastAsia="Calibri"/>
          <w:b w:val="0"/>
          <w:i w:val="0"/>
          <w:color w:val="17212B"/>
          <w:sz w:val="21"/>
        </w:rPr>
        <w:t xml:space="preserve"> available to the owner for Draft, Rejected, Returned, or Observed work.</w:t>
      </w:r>
    </w:p>
    <w:p>
      <w:pPr>
        <w:numPr>
          <w:ilvl w:val="0"/>
          <w:numId w:val="10"/>
        </w:numPr>
        <w:spacing w:after="80" w:line="300" w:lineRule="auto"/>
        <w:ind w:left="540" w:hanging="271"/>
      </w:pPr>
      <w:r>
        <w:rPr>
          <w:rFonts w:ascii="Calibri" w:hAnsi="Calibri" w:eastAsia="Calibri"/>
          <w:b/>
          <w:i w:val="0"/>
          <w:color w:val="17212B"/>
          <w:sz w:val="21"/>
        </w:rPr>
        <w:t>Delete/deactivate:</w:t>
      </w:r>
      <w:r>
        <w:rPr>
          <w:rFonts w:ascii="Calibri" w:hAnsi="Calibri" w:eastAsia="Calibri"/>
          <w:b w:val="0"/>
          <w:i w:val="0"/>
          <w:color w:val="17212B"/>
          <w:sz w:val="21"/>
        </w:rPr>
        <w:t xml:space="preserve"> uses a confirmation and only works where backend policy permits.</w:t>
      </w:r>
    </w:p>
    <w:p>
      <w:pPr>
        <w:pStyle w:val="Heading1"/>
      </w:pPr>
      <w:r>
        <w:t>6. Request Detail</w:t>
      </w:r>
    </w:p>
    <w:p>
      <w:r>
        <w:rPr>
          <w:rFonts w:ascii="Calibri" w:hAnsi="Calibri" w:eastAsia="Calibri"/>
          <w:b w:val="0"/>
          <w:i w:val="0"/>
          <w:color w:val="17212B"/>
          <w:sz w:val="22"/>
        </w:rPr>
        <w:t>The detail page is the complete trace for one expense. It shows:</w:t>
      </w:r>
    </w:p>
    <w:p>
      <w:pPr>
        <w:numPr>
          <w:ilvl w:val="0"/>
          <w:numId w:val="10"/>
        </w:numPr>
        <w:spacing w:after="80" w:line="300" w:lineRule="auto"/>
        <w:ind w:left="540" w:hanging="271"/>
      </w:pPr>
      <w:r>
        <w:rPr>
          <w:rFonts w:ascii="Calibri" w:hAnsi="Calibri" w:eastAsia="Calibri"/>
          <w:b w:val="0"/>
          <w:i w:val="0"/>
          <w:color w:val="17212B"/>
          <w:sz w:val="21"/>
        </w:rPr>
        <w:t>Header, requester, supplier, amount, exchange-rate snapshot, and period.</w:t>
      </w:r>
    </w:p>
    <w:p>
      <w:pPr>
        <w:numPr>
          <w:ilvl w:val="0"/>
          <w:numId w:val="10"/>
        </w:numPr>
        <w:spacing w:after="80" w:line="300" w:lineRule="auto"/>
        <w:ind w:left="540" w:hanging="271"/>
      </w:pPr>
      <w:r>
        <w:rPr>
          <w:rFonts w:ascii="Calibri" w:hAnsi="Calibri" w:eastAsia="Calibri"/>
          <w:b w:val="0"/>
          <w:i w:val="0"/>
          <w:color w:val="17212B"/>
          <w:sz w:val="21"/>
        </w:rPr>
        <w:t>Workflow stepper and current status.</w:t>
      </w:r>
    </w:p>
    <w:p>
      <w:pPr>
        <w:numPr>
          <w:ilvl w:val="0"/>
          <w:numId w:val="10"/>
        </w:numPr>
        <w:spacing w:after="80" w:line="300" w:lineRule="auto"/>
        <w:ind w:left="540" w:hanging="271"/>
      </w:pPr>
      <w:r>
        <w:rPr>
          <w:rFonts w:ascii="Calibri" w:hAnsi="Calibri" w:eastAsia="Calibri"/>
          <w:b w:val="0"/>
          <w:i w:val="0"/>
          <w:color w:val="17212B"/>
          <w:sz w:val="21"/>
        </w:rPr>
        <w:t>Accounting lines and historical dimension snapshots.</w:t>
      </w:r>
    </w:p>
    <w:p>
      <w:pPr>
        <w:numPr>
          <w:ilvl w:val="0"/>
          <w:numId w:val="10"/>
        </w:numPr>
        <w:spacing w:after="80" w:line="300" w:lineRule="auto"/>
        <w:ind w:left="540" w:hanging="271"/>
      </w:pPr>
      <w:r>
        <w:rPr>
          <w:rFonts w:ascii="Calibri" w:hAnsi="Calibri" w:eastAsia="Calibri"/>
          <w:b w:val="0"/>
          <w:i w:val="0"/>
          <w:color w:val="17212B"/>
          <w:sz w:val="21"/>
        </w:rPr>
        <w:t>Attachments with protected preview/download.</w:t>
      </w:r>
    </w:p>
    <w:p>
      <w:pPr>
        <w:numPr>
          <w:ilvl w:val="0"/>
          <w:numId w:val="10"/>
        </w:numPr>
        <w:spacing w:after="80" w:line="300" w:lineRule="auto"/>
        <w:ind w:left="540" w:hanging="271"/>
      </w:pPr>
      <w:r>
        <w:rPr>
          <w:rFonts w:ascii="Calibri" w:hAnsi="Calibri" w:eastAsia="Calibri"/>
          <w:b w:val="0"/>
          <w:i w:val="0"/>
          <w:color w:val="17212B"/>
          <w:sz w:val="21"/>
        </w:rPr>
        <w:t>XML match result and validation errors.</w:t>
      </w:r>
    </w:p>
    <w:p>
      <w:pPr>
        <w:numPr>
          <w:ilvl w:val="0"/>
          <w:numId w:val="10"/>
        </w:numPr>
        <w:spacing w:after="80" w:line="300" w:lineRule="auto"/>
        <w:ind w:left="540" w:hanging="271"/>
      </w:pPr>
      <w:r>
        <w:rPr>
          <w:rFonts w:ascii="Calibri" w:hAnsi="Calibri" w:eastAsia="Calibri"/>
          <w:b w:val="0"/>
          <w:i w:val="0"/>
          <w:color w:val="17212B"/>
          <w:sz w:val="21"/>
        </w:rPr>
        <w:t>Supplier validation and bank history summary.</w:t>
      </w:r>
    </w:p>
    <w:p>
      <w:pPr>
        <w:numPr>
          <w:ilvl w:val="0"/>
          <w:numId w:val="10"/>
        </w:numPr>
        <w:spacing w:after="80" w:line="300" w:lineRule="auto"/>
        <w:ind w:left="540" w:hanging="271"/>
      </w:pPr>
      <w:r>
        <w:rPr>
          <w:rFonts w:ascii="Calibri" w:hAnsi="Calibri" w:eastAsia="Calibri"/>
          <w:b w:val="0"/>
          <w:i w:val="0"/>
          <w:color w:val="17212B"/>
          <w:sz w:val="21"/>
        </w:rPr>
        <w:t>Approval events, SLA, comments, IP/sign-off reference.</w:t>
      </w:r>
    </w:p>
    <w:p>
      <w:pPr>
        <w:numPr>
          <w:ilvl w:val="0"/>
          <w:numId w:val="10"/>
        </w:numPr>
        <w:spacing w:after="80" w:line="300" w:lineRule="auto"/>
        <w:ind w:left="540" w:hanging="271"/>
      </w:pPr>
      <w:r>
        <w:rPr>
          <w:rFonts w:ascii="Calibri" w:hAnsi="Calibri" w:eastAsia="Calibri"/>
          <w:b w:val="0"/>
          <w:i w:val="0"/>
          <w:color w:val="17212B"/>
          <w:sz w:val="21"/>
        </w:rPr>
        <w:t>Budget commitment/exception.</w:t>
      </w:r>
    </w:p>
    <w:p>
      <w:pPr>
        <w:numPr>
          <w:ilvl w:val="0"/>
          <w:numId w:val="10"/>
        </w:numPr>
        <w:spacing w:after="80" w:line="300" w:lineRule="auto"/>
        <w:ind w:left="540" w:hanging="271"/>
      </w:pPr>
      <w:r>
        <w:rPr>
          <w:rFonts w:ascii="Calibri" w:hAnsi="Calibri" w:eastAsia="Calibri"/>
          <w:b w:val="0"/>
          <w:i w:val="0"/>
          <w:color w:val="17212B"/>
          <w:sz w:val="21"/>
        </w:rPr>
        <w:t>Fiscal voucher, CXP, and balanced journals.</w:t>
      </w:r>
    </w:p>
    <w:p>
      <w:pPr>
        <w:numPr>
          <w:ilvl w:val="0"/>
          <w:numId w:val="10"/>
        </w:numPr>
        <w:spacing w:after="80" w:line="300" w:lineRule="auto"/>
        <w:ind w:left="540" w:hanging="271"/>
      </w:pPr>
      <w:r>
        <w:rPr>
          <w:rFonts w:ascii="Calibri" w:hAnsi="Calibri" w:eastAsia="Calibri"/>
          <w:b w:val="0"/>
          <w:i w:val="0"/>
          <w:color w:val="17212B"/>
          <w:sz w:val="21"/>
        </w:rPr>
        <w:t>Purchase order where applicable.</w:t>
      </w:r>
    </w:p>
    <w:p>
      <w:pPr>
        <w:numPr>
          <w:ilvl w:val="0"/>
          <w:numId w:val="10"/>
        </w:numPr>
        <w:spacing w:after="80" w:line="300" w:lineRule="auto"/>
        <w:ind w:left="540" w:hanging="271"/>
      </w:pPr>
      <w:r>
        <w:rPr>
          <w:rFonts w:ascii="Calibri" w:hAnsi="Calibri" w:eastAsia="Calibri"/>
          <w:b w:val="0"/>
          <w:i w:val="0"/>
          <w:color w:val="17212B"/>
          <w:sz w:val="21"/>
        </w:rPr>
        <w:t>Bank batch, payment confirmation, rendition, reconciliation, and audit timeline.</w:t>
      </w:r>
    </w:p>
    <w:p>
      <w:r>
        <w:rPr>
          <w:rFonts w:ascii="Calibri" w:hAnsi="Calibri" w:eastAsia="Calibri"/>
          <w:b w:val="0"/>
          <w:i w:val="0"/>
          <w:color w:val="17212B"/>
          <w:sz w:val="22"/>
        </w:rPr>
        <w:t>Buttons appear according to role and status. A disabled control shows why it cannot be used.</w:t>
      </w:r>
    </w:p>
    <w:p>
      <w:pPr>
        <w:pStyle w:val="Heading1"/>
      </w:pPr>
      <w:r>
        <w:t>7. Suppliers and Homologation</w:t>
      </w:r>
    </w:p>
    <w:p>
      <w:r>
        <w:rPr>
          <w:rFonts w:ascii="Calibri" w:hAnsi="Calibri" w:eastAsia="Calibri"/>
          <w:b w:val="0"/>
          <w:i w:val="0"/>
          <w:color w:val="17212B"/>
          <w:sz w:val="22"/>
        </w:rPr>
        <w:t>Solicitors can propose a supplier. Accounting/Admin completes homologation.</w:t>
      </w:r>
    </w:p>
    <w:p>
      <w:r>
        <w:rPr>
          <w:rFonts w:ascii="Calibri" w:hAnsi="Calibri" w:eastAsia="Calibri"/>
          <w:b w:val="0"/>
          <w:i w:val="0"/>
          <w:color w:val="17212B"/>
          <w:sz w:val="22"/>
        </w:rPr>
        <w:t xml:space="preserve">Use </w:t>
      </w:r>
      <w:r>
        <w:rPr>
          <w:rFonts w:ascii="Calibri" w:hAnsi="Calibri" w:eastAsia="Calibri"/>
          <w:b/>
          <w:i w:val="0"/>
          <w:color w:val="17212B"/>
          <w:sz w:val="22"/>
        </w:rPr>
        <w:t>New supplier</w:t>
      </w:r>
      <w:r>
        <w:rPr>
          <w:rFonts w:ascii="Calibri" w:hAnsi="Calibri" w:eastAsia="Calibri"/>
          <w:b w:val="0"/>
          <w:i w:val="0"/>
          <w:color w:val="17212B"/>
          <w:sz w:val="22"/>
        </w:rPr>
        <w:t xml:space="preserve"> or </w:t>
      </w:r>
      <w:r>
        <w:rPr>
          <w:rFonts w:ascii="Calibri" w:hAnsi="Calibri" w:eastAsia="Calibri"/>
          <w:b/>
          <w:i w:val="0"/>
          <w:color w:val="17212B"/>
          <w:sz w:val="22"/>
        </w:rPr>
        <w:t>Edit</w:t>
      </w:r>
      <w:r>
        <w:rPr>
          <w:rFonts w:ascii="Calibri" w:hAnsi="Calibri" w:eastAsia="Calibri"/>
          <w:b w:val="0"/>
          <w:i w:val="0"/>
          <w:color w:val="17212B"/>
          <w:sz w:val="22"/>
        </w:rPr>
        <w:t xml:space="preserve"> to enter identifier type, RUC/DNI, legal name, address, representative, contact, type, currency, and bank data. Duplicate RUC/DNI is blocked. Reused account/CCI produces a warning.</w:t>
      </w:r>
    </w:p>
    <w:p>
      <w:r>
        <w:rPr>
          <w:rFonts w:ascii="Calibri" w:hAnsi="Calibri" w:eastAsia="Calibri"/>
          <w:b w:val="0"/>
          <w:i w:val="0"/>
          <w:color w:val="17212B"/>
          <w:sz w:val="22"/>
        </w:rPr>
        <w:t xml:space="preserve">New suppliers start at </w:t>
      </w:r>
      <w:r>
        <w:rPr>
          <w:rFonts w:ascii="Calibri" w:hAnsi="Calibri" w:eastAsia="Calibri"/>
          <w:b/>
          <w:i w:val="0"/>
          <w:color w:val="17212B"/>
          <w:sz w:val="22"/>
        </w:rPr>
        <w:t>PENDING_VALIDATION</w:t>
      </w:r>
      <w:r>
        <w:rPr>
          <w:rFonts w:ascii="Calibri" w:hAnsi="Calibri" w:eastAsia="Calibri"/>
          <w:b w:val="0"/>
          <w:i w:val="0"/>
          <w:color w:val="17212B"/>
          <w:sz w:val="22"/>
        </w:rPr>
        <w:t>. Upload the tax registration, bank certificate, and legal representative ID. Accounting/Admin can choose Homologate, Observe, or Inactivate and must record comments where required.</w:t>
      </w:r>
    </w:p>
    <w:p>
      <w:r>
        <w:rPr>
          <w:rFonts w:ascii="Calibri" w:hAnsi="Calibri" w:eastAsia="Calibri"/>
          <w:b w:val="0"/>
          <w:i w:val="0"/>
          <w:color w:val="17212B"/>
          <w:sz w:val="22"/>
        </w:rPr>
        <w:t>Editing bank data does not erase the previous account. The old account is closed with a valid-to date and a new active history row is created. Treasury uses the selected valid account snapshot in the payment batch.</w:t>
      </w:r>
    </w:p>
    <w:p>
      <w:pPr>
        <w:pStyle w:val="Heading1"/>
      </w:pPr>
      <w:r>
        <w:t>8. Approvals and SLA</w:t>
      </w:r>
    </w:p>
    <w:p>
      <w:r>
        <w:rPr>
          <w:rFonts w:ascii="Calibri" w:hAnsi="Calibri" w:eastAsia="Calibri"/>
          <w:b w:val="0"/>
          <w:i w:val="0"/>
          <w:color w:val="17212B"/>
          <w:sz w:val="22"/>
        </w:rPr>
        <w:t xml:space="preserve">Go to </w:t>
      </w:r>
      <w:r>
        <w:rPr>
          <w:rFonts w:ascii="Calibri" w:hAnsi="Calibri" w:eastAsia="Calibri"/>
          <w:b/>
          <w:i w:val="0"/>
          <w:color w:val="17212B"/>
          <w:sz w:val="22"/>
        </w:rPr>
        <w:t>Approval Inbox</w:t>
      </w:r>
      <w:r>
        <w:rPr>
          <w:rFonts w:ascii="Calibri" w:hAnsi="Calibri" w:eastAsia="Calibri"/>
          <w:b w:val="0"/>
          <w:i w:val="0"/>
          <w:color w:val="17212B"/>
          <w:sz w:val="22"/>
        </w:rPr>
        <w:t>. Search/filter requests and review the amount, supplier, current level, age, due time, and SLA severity.</w:t>
      </w:r>
    </w:p>
    <w:p>
      <w:r>
        <w:rPr>
          <w:rFonts w:ascii="Calibri" w:hAnsi="Calibri" w:eastAsia="Calibri"/>
          <w:b w:val="0"/>
          <w:i w:val="0"/>
          <w:color w:val="17212B"/>
          <w:sz w:val="22"/>
        </w:rPr>
        <w:t>Available actions are:</w:t>
      </w:r>
    </w:p>
    <w:p>
      <w:pPr>
        <w:numPr>
          <w:ilvl w:val="0"/>
          <w:numId w:val="10"/>
        </w:numPr>
        <w:spacing w:after="80" w:line="300" w:lineRule="auto"/>
        <w:ind w:left="540" w:hanging="271"/>
      </w:pPr>
      <w:r>
        <w:rPr>
          <w:rFonts w:ascii="Calibri" w:hAnsi="Calibri" w:eastAsia="Calibri"/>
          <w:b/>
          <w:i w:val="0"/>
          <w:color w:val="17212B"/>
          <w:sz w:val="21"/>
        </w:rPr>
        <w:t>Approve:</w:t>
      </w:r>
      <w:r>
        <w:rPr>
          <w:rFonts w:ascii="Calibri" w:hAnsi="Calibri" w:eastAsia="Calibri"/>
          <w:b w:val="0"/>
          <w:i w:val="0"/>
          <w:color w:val="17212B"/>
          <w:sz w:val="21"/>
        </w:rPr>
        <w:t xml:space="preserve"> records the authenticated sign-off and sends the request to the next configured level.</w:t>
      </w:r>
    </w:p>
    <w:p>
      <w:pPr>
        <w:numPr>
          <w:ilvl w:val="0"/>
          <w:numId w:val="10"/>
        </w:numPr>
        <w:spacing w:after="80" w:line="300" w:lineRule="auto"/>
        <w:ind w:left="540" w:hanging="271"/>
      </w:pPr>
      <w:r>
        <w:rPr>
          <w:rFonts w:ascii="Calibri" w:hAnsi="Calibri" w:eastAsia="Calibri"/>
          <w:b/>
          <w:i w:val="0"/>
          <w:color w:val="17212B"/>
          <w:sz w:val="21"/>
        </w:rPr>
        <w:t>Observe:</w:t>
      </w:r>
      <w:r>
        <w:rPr>
          <w:rFonts w:ascii="Calibri" w:hAnsi="Calibri" w:eastAsia="Calibri"/>
          <w:b w:val="0"/>
          <w:i w:val="0"/>
          <w:color w:val="17212B"/>
          <w:sz w:val="21"/>
        </w:rPr>
        <w:t xml:space="preserve"> sends the request for clarification/correction; comments are required.</w:t>
      </w:r>
    </w:p>
    <w:p>
      <w:pPr>
        <w:numPr>
          <w:ilvl w:val="0"/>
          <w:numId w:val="10"/>
        </w:numPr>
        <w:spacing w:after="80" w:line="300" w:lineRule="auto"/>
        <w:ind w:left="540" w:hanging="271"/>
      </w:pPr>
      <w:r>
        <w:rPr>
          <w:rFonts w:ascii="Calibri" w:hAnsi="Calibri" w:eastAsia="Calibri"/>
          <w:b/>
          <w:i w:val="0"/>
          <w:color w:val="17212B"/>
          <w:sz w:val="21"/>
        </w:rPr>
        <w:t>Return:</w:t>
      </w:r>
      <w:r>
        <w:rPr>
          <w:rFonts w:ascii="Calibri" w:hAnsi="Calibri" w:eastAsia="Calibri"/>
          <w:b w:val="0"/>
          <w:i w:val="0"/>
          <w:color w:val="17212B"/>
          <w:sz w:val="21"/>
        </w:rPr>
        <w:t xml:space="preserve"> returns the request to the Solicitor; comments are required.</w:t>
      </w:r>
    </w:p>
    <w:p>
      <w:pPr>
        <w:numPr>
          <w:ilvl w:val="0"/>
          <w:numId w:val="10"/>
        </w:numPr>
        <w:spacing w:after="80" w:line="300" w:lineRule="auto"/>
        <w:ind w:left="540" w:hanging="271"/>
      </w:pPr>
      <w:r>
        <w:rPr>
          <w:rFonts w:ascii="Calibri" w:hAnsi="Calibri" w:eastAsia="Calibri"/>
          <w:b/>
          <w:i w:val="0"/>
          <w:color w:val="17212B"/>
          <w:sz w:val="21"/>
        </w:rPr>
        <w:t>Reject:</w:t>
      </w:r>
      <w:r>
        <w:rPr>
          <w:rFonts w:ascii="Calibri" w:hAnsi="Calibri" w:eastAsia="Calibri"/>
          <w:b w:val="0"/>
          <w:i w:val="0"/>
          <w:color w:val="17212B"/>
          <w:sz w:val="21"/>
        </w:rPr>
        <w:t xml:space="preserve"> ends the approval path unless corrected/resubmitted under policy; comments are required.</w:t>
      </w:r>
    </w:p>
    <w:p>
      <w:r>
        <w:rPr>
          <w:rFonts w:ascii="Calibri" w:hAnsi="Calibri" w:eastAsia="Calibri"/>
          <w:b w:val="0"/>
          <w:i w:val="0"/>
          <w:color w:val="17212B"/>
          <w:sz w:val="22"/>
        </w:rPr>
        <w:t>The system prevents a requester from approving their own request. Admin override requires a written reason and is audited. The sign-off is an internal authenticated approval, not a certified legal digital signature.</w:t>
      </w:r>
    </w:p>
    <w:p>
      <w:pPr>
        <w:pStyle w:val="Heading1"/>
      </w:pPr>
      <w:r>
        <w:t>9. Budget Control</w:t>
      </w:r>
    </w:p>
    <w:p>
      <w:r>
        <w:rPr>
          <w:rFonts w:ascii="Calibri" w:hAnsi="Calibri" w:eastAsia="Calibri"/>
          <w:b w:val="0"/>
          <w:i w:val="0"/>
          <w:color w:val="17212B"/>
          <w:sz w:val="22"/>
        </w:rPr>
        <w:t xml:space="preserve">Choose the period and select </w:t>
      </w:r>
      <w:r>
        <w:rPr>
          <w:rFonts w:ascii="Calibri" w:hAnsi="Calibri" w:eastAsia="Calibri"/>
          <w:b/>
          <w:i w:val="0"/>
          <w:color w:val="17212B"/>
          <w:sz w:val="22"/>
        </w:rPr>
        <w:t>Apply</w:t>
      </w:r>
      <w:r>
        <w:rPr>
          <w:rFonts w:ascii="Calibri" w:hAnsi="Calibri" w:eastAsia="Calibri"/>
          <w:b w:val="0"/>
          <w:i w:val="0"/>
          <w:color w:val="17212B"/>
          <w:sz w:val="22"/>
        </w:rPr>
        <w:t>. The summary shows Assigned, Committed, Executed, Paid, and Available from the same transactional budget service used by the workflow.</w:t>
      </w:r>
    </w:p>
    <w:p>
      <w:pPr>
        <w:numPr>
          <w:ilvl w:val="0"/>
          <w:numId w:val="10"/>
        </w:numPr>
        <w:spacing w:after="80" w:line="300" w:lineRule="auto"/>
        <w:ind w:left="540" w:hanging="271"/>
      </w:pPr>
      <w:r>
        <w:rPr>
          <w:rFonts w:ascii="Calibri" w:hAnsi="Calibri" w:eastAsia="Calibri"/>
          <w:b/>
          <w:i w:val="0"/>
          <w:color w:val="17212B"/>
          <w:sz w:val="21"/>
        </w:rPr>
        <w:t>Dimensional budget:</w:t>
      </w:r>
      <w:r>
        <w:rPr>
          <w:rFonts w:ascii="Calibri" w:hAnsi="Calibri" w:eastAsia="Calibri"/>
          <w:b w:val="0"/>
          <w:i w:val="0"/>
          <w:color w:val="17212B"/>
          <w:sz w:val="21"/>
        </w:rPr>
        <w:t xml:space="preserve"> balances by period, Cost Center, expense classification, and project.</w:t>
      </w:r>
    </w:p>
    <w:p>
      <w:pPr>
        <w:numPr>
          <w:ilvl w:val="0"/>
          <w:numId w:val="10"/>
        </w:numPr>
        <w:spacing w:after="80" w:line="300" w:lineRule="auto"/>
        <w:ind w:left="540" w:hanging="271"/>
      </w:pPr>
      <w:r>
        <w:rPr>
          <w:rFonts w:ascii="Calibri" w:hAnsi="Calibri" w:eastAsia="Calibri"/>
          <w:b/>
          <w:i w:val="0"/>
          <w:color w:val="17212B"/>
          <w:sz w:val="21"/>
        </w:rPr>
        <w:t>Budget exceptions:</w:t>
      </w:r>
      <w:r>
        <w:rPr>
          <w:rFonts w:ascii="Calibri" w:hAnsi="Calibri" w:eastAsia="Calibri"/>
          <w:b w:val="0"/>
          <w:i w:val="0"/>
          <w:color w:val="17212B"/>
          <w:sz w:val="21"/>
        </w:rPr>
        <w:t xml:space="preserve"> insufficient-budget cases and their strategy/decision.</w:t>
      </w:r>
    </w:p>
    <w:p>
      <w:pPr>
        <w:numPr>
          <w:ilvl w:val="0"/>
          <w:numId w:val="10"/>
        </w:numPr>
        <w:spacing w:after="80" w:line="300" w:lineRule="auto"/>
        <w:ind w:left="540" w:hanging="271"/>
      </w:pPr>
      <w:r>
        <w:rPr>
          <w:rFonts w:ascii="Calibri" w:hAnsi="Calibri" w:eastAsia="Calibri"/>
          <w:b/>
          <w:i w:val="0"/>
          <w:color w:val="17212B"/>
          <w:sz w:val="21"/>
        </w:rPr>
        <w:t>Budget commitments:</w:t>
      </w:r>
      <w:r>
        <w:rPr>
          <w:rFonts w:ascii="Calibri" w:hAnsi="Calibri" w:eastAsia="Calibri"/>
          <w:b w:val="0"/>
          <w:i w:val="0"/>
          <w:color w:val="17212B"/>
          <w:sz w:val="21"/>
        </w:rPr>
        <w:t xml:space="preserve"> each reservation and independent state/history.</w:t>
      </w:r>
    </w:p>
    <w:p>
      <w:pPr>
        <w:numPr>
          <w:ilvl w:val="0"/>
          <w:numId w:val="10"/>
        </w:numPr>
        <w:spacing w:after="80" w:line="300" w:lineRule="auto"/>
        <w:ind w:left="540" w:hanging="271"/>
      </w:pPr>
      <w:r>
        <w:rPr>
          <w:rFonts w:ascii="Calibri" w:hAnsi="Calibri" w:eastAsia="Calibri"/>
          <w:b/>
          <w:i w:val="0"/>
          <w:color w:val="17212B"/>
          <w:sz w:val="21"/>
        </w:rPr>
        <w:t>Manage allocations:</w:t>
      </w:r>
      <w:r>
        <w:rPr>
          <w:rFonts w:ascii="Calibri" w:hAnsi="Calibri" w:eastAsia="Calibri"/>
          <w:b w:val="0"/>
          <w:i w:val="0"/>
          <w:color w:val="17212B"/>
          <w:sz w:val="21"/>
        </w:rPr>
        <w:t xml:space="preserve"> opens authorized budget master configuration.</w:t>
      </w:r>
    </w:p>
    <w:p>
      <w:pPr>
        <w:spacing w:before="80" w:after="180"/>
        <w:ind w:left="115" w:right="115"/>
        <w:shd w:fill="E7F3F1" w:val="clear"/>
        <w:pBdr>
          <w:left w:val="single" w:sz="20" w:space="8" w:color="0B7F7A"/>
        </w:pBdr>
      </w:pPr>
      <w:r>
        <w:rPr>
          <w:rFonts w:ascii="Calibri" w:hAnsi="Calibri" w:eastAsia="Calibri"/>
          <w:b w:val="0"/>
          <w:i w:val="0"/>
          <w:color w:val="17212B"/>
          <w:sz w:val="22"/>
        </w:rPr>
        <w:t>In ACTIVE mode the request cannot silently exceed available budget. The rule can reject, request an increase, or request extraordinary approval. Cancelling a committed request before execution releases the reservation once and records the release.</w:t>
      </w:r>
    </w:p>
    <w:p>
      <w:pPr>
        <w:pStyle w:val="Heading1"/>
      </w:pPr>
      <w:r>
        <w:t>10. Accounting and Accounts Payable</w:t>
      </w:r>
    </w:p>
    <w:p>
      <w:r>
        <w:rPr>
          <w:rFonts w:ascii="Calibri" w:hAnsi="Calibri" w:eastAsia="Calibri"/>
          <w:b w:val="0"/>
          <w:i w:val="0"/>
          <w:color w:val="17212B"/>
          <w:sz w:val="22"/>
        </w:rPr>
        <w:t>Accounting receives only approved, documented, dimensioned requests in an open period.</w:t>
      </w:r>
    </w:p>
    <w:p>
      <w:r>
        <w:rPr>
          <w:rFonts w:ascii="Calibri" w:hAnsi="Calibri" w:eastAsia="Calibri"/>
          <w:b w:val="0"/>
          <w:i w:val="0"/>
          <w:color w:val="17212B"/>
          <w:sz w:val="22"/>
        </w:rPr>
        <w:t xml:space="preserve">In </w:t>
      </w:r>
      <w:r>
        <w:rPr>
          <w:rFonts w:ascii="Calibri" w:hAnsi="Calibri" w:eastAsia="Calibri"/>
          <w:b/>
          <w:i w:val="0"/>
          <w:color w:val="17212B"/>
          <w:sz w:val="22"/>
        </w:rPr>
        <w:t>Accounting Entries</w:t>
      </w:r>
      <w:r>
        <w:rPr>
          <w:rFonts w:ascii="Calibri" w:hAnsi="Calibri" w:eastAsia="Calibri"/>
          <w:b w:val="0"/>
          <w:i w:val="0"/>
          <w:color w:val="17212B"/>
          <w:sz w:val="22"/>
        </w:rPr>
        <w:t>:</w:t>
      </w:r>
    </w:p>
    <w:p>
      <w:r>
        <w:rPr>
          <w:rFonts w:ascii="Calibri" w:hAnsi="Calibri" w:eastAsia="Calibri"/>
          <w:b w:val="0"/>
          <w:i w:val="0"/>
          <w:color w:val="17212B"/>
          <w:sz w:val="22"/>
        </w:rPr>
        <w:t>1. Open the fiscal-processing action.</w:t>
      </w:r>
    </w:p>
    <w:p>
      <w:r>
        <w:rPr>
          <w:rFonts w:ascii="Calibri" w:hAnsi="Calibri" w:eastAsia="Calibri"/>
          <w:b w:val="0"/>
          <w:i w:val="0"/>
          <w:color w:val="17212B"/>
          <w:sz w:val="22"/>
        </w:rPr>
        <w:t>2. Enter voucher type, series, number, document/accounting date, period, and comments.</w:t>
      </w:r>
    </w:p>
    <w:p>
      <w:r>
        <w:rPr>
          <w:rFonts w:ascii="Calibri" w:hAnsi="Calibri" w:eastAsia="Calibri"/>
          <w:b w:val="0"/>
          <w:i w:val="0"/>
          <w:color w:val="17212B"/>
          <w:sz w:val="22"/>
        </w:rPr>
        <w:t>3. Review the exact result and confirm.</w:t>
      </w:r>
    </w:p>
    <w:p>
      <w:r>
        <w:rPr>
          <w:rFonts w:ascii="Calibri" w:hAnsi="Calibri" w:eastAsia="Calibri"/>
          <w:b w:val="0"/>
          <w:i w:val="0"/>
          <w:color w:val="17212B"/>
          <w:sz w:val="22"/>
        </w:rPr>
        <w:t>The backend blocks duplicate supplier + voucher type + series + number. Processing creates one explicit CXP and a balanced provision journal. Debit and credit totals must match.</w:t>
      </w:r>
    </w:p>
    <w:p>
      <w:r>
        <w:rPr>
          <w:rFonts w:ascii="Calibri" w:hAnsi="Calibri" w:eastAsia="Calibri"/>
          <w:b w:val="0"/>
          <w:i w:val="0"/>
          <w:color w:val="17212B"/>
          <w:sz w:val="22"/>
        </w:rPr>
        <w:t xml:space="preserve">Use </w:t>
      </w:r>
      <w:r>
        <w:rPr>
          <w:rFonts w:ascii="Calibri" w:hAnsi="Calibri" w:eastAsia="Calibri"/>
          <w:b/>
          <w:i w:val="0"/>
          <w:color w:val="17212B"/>
          <w:sz w:val="22"/>
        </w:rPr>
        <w:t>Accounts Payable</w:t>
      </w:r>
      <w:r>
        <w:rPr>
          <w:rFonts w:ascii="Calibri" w:hAnsi="Calibri" w:eastAsia="Calibri"/>
          <w:b w:val="0"/>
          <w:i w:val="0"/>
          <w:color w:val="17212B"/>
          <w:sz w:val="22"/>
        </w:rPr>
        <w:t xml:space="preserve"> to review original/outstanding amount, voucher, status, provision entry, payment batch, and payment entry.</w:t>
      </w:r>
    </w:p>
    <w:p>
      <w:r>
        <w:rPr>
          <w:rFonts w:ascii="Calibri" w:hAnsi="Calibri" w:eastAsia="Calibri"/>
          <w:b w:val="0"/>
          <w:i w:val="0"/>
          <w:color w:val="17212B"/>
          <w:sz w:val="22"/>
        </w:rPr>
        <w:t xml:space="preserve">Use </w:t>
      </w:r>
      <w:r>
        <w:rPr>
          <w:rFonts w:ascii="Calibri" w:hAnsi="Calibri" w:eastAsia="Calibri"/>
          <w:b/>
          <w:i w:val="0"/>
          <w:color w:val="17212B"/>
          <w:sz w:val="22"/>
        </w:rPr>
        <w:t>Accounting Periods</w:t>
      </w:r>
      <w:r>
        <w:rPr>
          <w:rFonts w:ascii="Calibri" w:hAnsi="Calibri" w:eastAsia="Calibri"/>
          <w:b w:val="0"/>
          <w:i w:val="0"/>
          <w:color w:val="17212B"/>
          <w:sz w:val="22"/>
        </w:rPr>
        <w:t xml:space="preserve"> to open, close, or reopen a period with confirmation and comments. A closed period blocks applicable creates, updates, deletes, approvals, accounting, payment, rendition, void, and close actions. Every blocked attempt is audited.</w:t>
      </w:r>
    </w:p>
    <w:p>
      <w:pPr>
        <w:pStyle w:val="Heading1"/>
      </w:pPr>
      <w:r>
        <w:t>11. Treasury</w:t>
      </w:r>
    </w:p>
    <w:p>
      <w:pPr>
        <w:keepNext/>
        <w:spacing w:before="40" w:after="0"/>
        <w:jc w:val="center"/>
      </w:pPr>
      <w:r>
        <w:drawing>
          <wp:inline xmlns:a="http://schemas.openxmlformats.org/drawingml/2006/main" xmlns:pic="http://schemas.openxmlformats.org/drawingml/2006/picture">
            <wp:extent cx="5715000" cy="3573569"/>
            <wp:docPr id="4" name="Picture 4" title="Treasury payment control" descr="Treasury dashboard with payable queue, currency totals, missing bank controls and payment confirmation tasks."/>
            <wp:cNvGraphicFramePr>
              <a:graphicFrameLocks noChangeAspect="1"/>
            </wp:cNvGraphicFramePr>
            <a:graphic>
              <a:graphicData uri="http://schemas.openxmlformats.org/drawingml/2006/picture">
                <pic:pic>
                  <pic:nvPicPr>
                    <pic:cNvPr id="0" name="treasury-final-1280.jpg"/>
                    <pic:cNvPicPr/>
                  </pic:nvPicPr>
                  <pic:blipFill>
                    <a:blip r:embed="rId15"/>
                    <a:stretch>
                      <a:fillRect/>
                    </a:stretch>
                  </pic:blipFill>
                  <pic:spPr>
                    <a:xfrm>
                      <a:off x="0" y="0"/>
                      <a:ext cx="5715000" cy="3573569"/>
                    </a:xfrm>
                    <a:prstGeom prst="rect"/>
                  </pic:spPr>
                </pic:pic>
              </a:graphicData>
            </a:graphic>
          </wp:inline>
        </w:drawing>
      </w:r>
    </w:p>
    <w:p>
      <w:pPr>
        <w:pStyle w:val="Caption"/>
        <w:jc w:val="center"/>
      </w:pPr>
      <w:r>
        <w:rPr>
          <w:rFonts w:ascii="Calibri" w:hAnsi="Calibri" w:eastAsia="Calibri"/>
          <w:b w:val="0"/>
          <w:i w:val="0"/>
          <w:color w:val="5D6A75"/>
          <w:sz w:val="17"/>
        </w:rPr>
        <w:t>Treasury separates payable scheduling, bank-file creation and actual payment confirmation.</w:t>
      </w:r>
    </w:p>
    <w:p>
      <w:r>
        <w:rPr>
          <w:rFonts w:ascii="Calibri" w:hAnsi="Calibri" w:eastAsia="Calibri"/>
          <w:b w:val="0"/>
          <w:i w:val="0"/>
          <w:color w:val="17212B"/>
          <w:sz w:val="22"/>
        </w:rPr>
        <w:t>The Treasury page has four controlled areas.</w:t>
      </w:r>
    </w:p>
    <w:p>
      <w:pPr>
        <w:pStyle w:val="Heading2"/>
      </w:pPr>
      <w:r>
        <w:t>Payable queue</w:t>
      </w:r>
    </w:p>
    <w:p>
      <w:r>
        <w:rPr>
          <w:rFonts w:ascii="Calibri" w:hAnsi="Calibri" w:eastAsia="Calibri"/>
          <w:b w:val="0"/>
          <w:i w:val="0"/>
          <w:color w:val="17212B"/>
          <w:sz w:val="22"/>
        </w:rPr>
        <w:t xml:space="preserve">Filter by bank, currency, date, Cost Center, supplier, or status. Select individual items or </w:t>
      </w:r>
      <w:r>
        <w:rPr>
          <w:rFonts w:ascii="Calibri" w:hAnsi="Calibri" w:eastAsia="Calibri"/>
          <w:b/>
          <w:i w:val="0"/>
          <w:color w:val="17212B"/>
          <w:sz w:val="22"/>
        </w:rPr>
        <w:t>Select all visible rows</w:t>
      </w:r>
      <w:r>
        <w:rPr>
          <w:rFonts w:ascii="Calibri" w:hAnsi="Calibri" w:eastAsia="Calibri"/>
          <w:b w:val="0"/>
          <w:i w:val="0"/>
          <w:color w:val="17212B"/>
          <w:sz w:val="22"/>
        </w:rPr>
        <w:t>. Rows without valid active bank details cannot be selected. The page shows selected count and totals by currency.</w:t>
      </w:r>
    </w:p>
    <w:p>
      <w:pPr>
        <w:pStyle w:val="Heading2"/>
      </w:pPr>
      <w:r>
        <w:t>Generate bank file</w:t>
      </w:r>
    </w:p>
    <w:p>
      <w:r>
        <w:rPr>
          <w:rFonts w:ascii="Calibri" w:hAnsi="Calibri" w:eastAsia="Calibri"/>
          <w:b w:val="0"/>
          <w:i w:val="0"/>
          <w:color w:val="17212B"/>
          <w:sz w:val="22"/>
        </w:rPr>
        <w:t>Review bank, currency, payment date, items, account warnings, count, and total. Confirm only after checking the result statement. The batch is saved with item/account snapshots and checksum.</w:t>
      </w:r>
    </w:p>
    <w:p>
      <w:r>
        <w:rPr>
          <w:rFonts w:ascii="Calibri" w:hAnsi="Calibri" w:eastAsia="Calibri"/>
          <w:b w:val="0"/>
          <w:i w:val="0"/>
          <w:color w:val="17212B"/>
          <w:sz w:val="22"/>
        </w:rPr>
        <w:t>Current BCP, BBVA, Interbank, and Scotiabank layouts are DEMO / NOT CERTIFIED. Do not send them to a production bank until UMA supplies and certifies the official format.</w:t>
      </w:r>
    </w:p>
    <w:p>
      <w:pPr>
        <w:pStyle w:val="Heading2"/>
      </w:pPr>
      <w:r>
        <w:t>Confirm payment</w:t>
      </w:r>
    </w:p>
    <w:p>
      <w:r>
        <w:rPr>
          <w:rFonts w:ascii="Calibri" w:hAnsi="Calibri" w:eastAsia="Calibri"/>
          <w:b w:val="0"/>
          <w:i w:val="0"/>
          <w:color w:val="17212B"/>
          <w:sz w:val="22"/>
        </w:rPr>
        <w:t xml:space="preserve">After the bank really executes the payment, select </w:t>
      </w:r>
      <w:r>
        <w:rPr>
          <w:rFonts w:ascii="Calibri" w:hAnsi="Calibri" w:eastAsia="Calibri"/>
          <w:b/>
          <w:i w:val="0"/>
          <w:color w:val="17212B"/>
          <w:sz w:val="22"/>
        </w:rPr>
        <w:t>Confirm payment</w:t>
      </w:r>
      <w:r>
        <w:rPr>
          <w:rFonts w:ascii="Calibri" w:hAnsi="Calibri" w:eastAsia="Calibri"/>
          <w:b w:val="0"/>
          <w:i w:val="0"/>
          <w:color w:val="17212B"/>
          <w:sz w:val="22"/>
        </w:rPr>
        <w:t xml:space="preserve"> and enter operation number, actual date, confirmed amount, and comments. Only this action changes CXP to Paid, creates the payment journal, updates budget, and changes the request to </w:t>
      </w:r>
      <w:r>
        <w:rPr>
          <w:rFonts w:ascii="Consolas" w:hAnsi="Consolas" w:eastAsia="Consolas"/>
          <w:b w:val="0"/>
          <w:i w:val="0"/>
          <w:color w:val="173B57"/>
          <w:sz w:val="21"/>
          <w:shd w:fill="E8EEF5" w:val="clear"/>
        </w:rPr>
        <w:t>PAGADO</w:t>
      </w:r>
      <w:r>
        <w:rPr>
          <w:rFonts w:ascii="Calibri" w:hAnsi="Calibri" w:eastAsia="Calibri"/>
          <w:b w:val="0"/>
          <w:i w:val="0"/>
          <w:color w:val="17212B"/>
          <w:sz w:val="22"/>
        </w:rPr>
        <w:t>.</w:t>
      </w:r>
    </w:p>
    <w:p>
      <w:pPr>
        <w:pStyle w:val="Heading2"/>
      </w:pPr>
      <w:r>
        <w:t>Reconcile</w:t>
      </w:r>
    </w:p>
    <w:p>
      <w:r>
        <w:rPr>
          <w:rFonts w:ascii="Calibri" w:hAnsi="Calibri" w:eastAsia="Calibri"/>
          <w:b w:val="0"/>
          <w:i w:val="0"/>
          <w:color w:val="17212B"/>
          <w:sz w:val="22"/>
        </w:rPr>
        <w:t xml:space="preserve">Match the confirmed payment to the bank statement. Enter bank reference, difference, and comments. A valid result changes the request to </w:t>
      </w:r>
      <w:r>
        <w:rPr>
          <w:rFonts w:ascii="Consolas" w:hAnsi="Consolas" w:eastAsia="Consolas"/>
          <w:b w:val="0"/>
          <w:i w:val="0"/>
          <w:color w:val="173B57"/>
          <w:sz w:val="21"/>
          <w:shd w:fill="E8EEF5" w:val="clear"/>
        </w:rPr>
        <w:t>CONCILIADO</w:t>
      </w:r>
      <w:r>
        <w:rPr>
          <w:rFonts w:ascii="Calibri" w:hAnsi="Calibri" w:eastAsia="Calibri"/>
          <w:b w:val="0"/>
          <w:i w:val="0"/>
          <w:color w:val="17212B"/>
          <w:sz w:val="22"/>
        </w:rPr>
        <w:t xml:space="preserve">; then an authorized close action changes it to </w:t>
      </w:r>
      <w:r>
        <w:rPr>
          <w:rFonts w:ascii="Consolas" w:hAnsi="Consolas" w:eastAsia="Consolas"/>
          <w:b w:val="0"/>
          <w:i w:val="0"/>
          <w:color w:val="173B57"/>
          <w:sz w:val="21"/>
          <w:shd w:fill="E8EEF5" w:val="clear"/>
        </w:rPr>
        <w:t>CERRADO</w:t>
      </w:r>
      <w:r>
        <w:rPr>
          <w:rFonts w:ascii="Calibri" w:hAnsi="Calibri" w:eastAsia="Calibri"/>
          <w:b w:val="0"/>
          <w:i w:val="0"/>
          <w:color w:val="17212B"/>
          <w:sz w:val="22"/>
        </w:rPr>
        <w:t>.</w:t>
      </w:r>
    </w:p>
    <w:p>
      <w:pPr>
        <w:pStyle w:val="Heading1"/>
      </w:pPr>
      <w:r>
        <w:t>12. Special Flows</w:t>
      </w:r>
    </w:p>
    <w:p>
      <w:pPr>
        <w:pStyle w:val="Heading2"/>
      </w:pPr>
      <w:r>
        <w:t>Entrega a Rendir</w:t>
      </w:r>
    </w:p>
    <w:p>
      <w:r>
        <w:rPr>
          <w:rFonts w:ascii="Calibri" w:hAnsi="Calibri" w:eastAsia="Calibri"/>
          <w:b w:val="0"/>
          <w:i w:val="0"/>
          <w:color w:val="17212B"/>
          <w:sz w:val="22"/>
        </w:rPr>
        <w:t xml:space="preserve">The initial accounting uses the configured Account 14 advance/transit mapping, not an expense. After actual payment the request becomes </w:t>
      </w:r>
      <w:r>
        <w:rPr>
          <w:rFonts w:ascii="Consolas" w:hAnsi="Consolas" w:eastAsia="Consolas"/>
          <w:b w:val="0"/>
          <w:i w:val="0"/>
          <w:color w:val="173B57"/>
          <w:sz w:val="21"/>
          <w:shd w:fill="E8EEF5" w:val="clear"/>
        </w:rPr>
        <w:t>RENDICION_PENDIENTE</w:t>
      </w:r>
      <w:r>
        <w:rPr>
          <w:rFonts w:ascii="Calibri" w:hAnsi="Calibri" w:eastAsia="Calibri"/>
          <w:b w:val="0"/>
          <w:i w:val="0"/>
          <w:color w:val="17212B"/>
          <w:sz w:val="22"/>
        </w:rPr>
        <w:t>. The Solicitor uploads evidence and declares amount advanced, rendered, returned, and outstanding. Accounting validates the rendition; only then are the real expense/IGV recognized and Account 14 cleared or reduced. Closure is blocked while a required balance/evidence remains.</w:t>
      </w:r>
    </w:p>
    <w:p>
      <w:pPr>
        <w:pStyle w:val="Heading2"/>
      </w:pPr>
      <w:r>
        <w:t>Reembolso sin Sustento</w:t>
      </w:r>
    </w:p>
    <w:p>
      <w:r>
        <w:rPr>
          <w:rFonts w:ascii="Calibri" w:hAnsi="Calibri" w:eastAsia="Calibri"/>
          <w:b w:val="0"/>
          <w:i w:val="0"/>
          <w:color w:val="17212B"/>
          <w:sz w:val="22"/>
        </w:rPr>
        <w:t>The system uses the configured non-deductible mapping and does not post it through the normal deductible expense path.</w:t>
      </w:r>
    </w:p>
    <w:p>
      <w:pPr>
        <w:pStyle w:val="Heading2"/>
      </w:pPr>
      <w:r>
        <w:t>Pago con Cotizacion</w:t>
      </w:r>
    </w:p>
    <w:p>
      <w:r>
        <w:rPr>
          <w:rFonts w:ascii="Calibri" w:hAnsi="Calibri" w:eastAsia="Calibri"/>
          <w:b w:val="0"/>
          <w:i w:val="0"/>
          <w:color w:val="17212B"/>
          <w:sz w:val="22"/>
        </w:rPr>
        <w:t xml:space="preserve">After required approval, the system can generate an internal purchase order with an immutable </w:t>
      </w:r>
      <w:r>
        <w:rPr>
          <w:rFonts w:ascii="Consolas" w:hAnsi="Consolas" w:eastAsia="Consolas"/>
          <w:b w:val="0"/>
          <w:i w:val="0"/>
          <w:color w:val="173B57"/>
          <w:sz w:val="21"/>
          <w:shd w:fill="E8EEF5" w:val="clear"/>
        </w:rPr>
        <w:t>OC-YYYY-XXXXX</w:t>
      </w:r>
      <w:r>
        <w:rPr>
          <w:rFonts w:ascii="Calibri" w:hAnsi="Calibri" w:eastAsia="Calibri"/>
          <w:b w:val="0"/>
          <w:i w:val="0"/>
          <w:color w:val="17212B"/>
          <w:sz w:val="22"/>
        </w:rPr>
        <w:t xml:space="preserve"> reference. XML/PDF evidence remains required according to configuration.</w:t>
      </w:r>
    </w:p>
    <w:p>
      <w:pPr>
        <w:pStyle w:val="Heading1"/>
      </w:pPr>
      <w:r>
        <w:t>13. Reports, SIRE, and Audit</w:t>
      </w:r>
    </w:p>
    <w:p>
      <w:pPr>
        <w:numPr>
          <w:ilvl w:val="0"/>
          <w:numId w:val="10"/>
        </w:numPr>
        <w:spacing w:after="80" w:line="300" w:lineRule="auto"/>
        <w:ind w:left="540" w:hanging="271"/>
      </w:pPr>
      <w:r>
        <w:rPr>
          <w:rFonts w:ascii="Calibri" w:hAnsi="Calibri" w:eastAsia="Calibri"/>
          <w:b/>
          <w:i w:val="0"/>
          <w:color w:val="17212B"/>
          <w:sz w:val="21"/>
        </w:rPr>
        <w:t>Management Reports:</w:t>
      </w:r>
      <w:r>
        <w:rPr>
          <w:rFonts w:ascii="Calibri" w:hAnsi="Calibri" w:eastAsia="Calibri"/>
          <w:b w:val="0"/>
          <w:i w:val="0"/>
          <w:color w:val="17212B"/>
          <w:sz w:val="21"/>
        </w:rPr>
        <w:t xml:space="preserve"> period/date filters, CAPEX/OPEX, budget execution, area/project spend, commitments, CXP, Treasury schedule, and export history according to role.</w:t>
      </w:r>
    </w:p>
    <w:p>
      <w:pPr>
        <w:numPr>
          <w:ilvl w:val="0"/>
          <w:numId w:val="10"/>
        </w:numPr>
        <w:spacing w:after="80" w:line="300" w:lineRule="auto"/>
        <w:ind w:left="540" w:hanging="271"/>
      </w:pPr>
      <w:r>
        <w:rPr>
          <w:rFonts w:ascii="Calibri" w:hAnsi="Calibri" w:eastAsia="Calibri"/>
          <w:b/>
          <w:i w:val="0"/>
          <w:color w:val="17212B"/>
          <w:sz w:val="21"/>
        </w:rPr>
        <w:t>Month-end consolidation:</w:t>
      </w:r>
      <w:r>
        <w:rPr>
          <w:rFonts w:ascii="Calibri" w:hAnsi="Calibri" w:eastAsia="Calibri"/>
          <w:b w:val="0"/>
          <w:i w:val="0"/>
          <w:color w:val="17212B"/>
          <w:sz w:val="21"/>
        </w:rPr>
        <w:t xml:space="preserve"> groups journal data by Cost Center and account. Export is allowed only when source and centralization totals reconcile to zero difference.</w:t>
      </w:r>
    </w:p>
    <w:p>
      <w:pPr>
        <w:numPr>
          <w:ilvl w:val="0"/>
          <w:numId w:val="10"/>
        </w:numPr>
        <w:spacing w:after="80" w:line="300" w:lineRule="auto"/>
        <w:ind w:left="540" w:hanging="271"/>
      </w:pPr>
      <w:r>
        <w:rPr>
          <w:rFonts w:ascii="Calibri" w:hAnsi="Calibri" w:eastAsia="Calibri"/>
          <w:b/>
          <w:i w:val="0"/>
          <w:color w:val="17212B"/>
          <w:sz w:val="21"/>
        </w:rPr>
        <w:t>SIRE/RCE:</w:t>
      </w:r>
      <w:r>
        <w:rPr>
          <w:rFonts w:ascii="Calibri" w:hAnsi="Calibri" w:eastAsia="Calibri"/>
          <w:b w:val="0"/>
          <w:i w:val="0"/>
          <w:color w:val="17212B"/>
          <w:sz w:val="21"/>
        </w:rPr>
        <w:t xml:space="preserve"> shows eligible rows, exclusions, warnings, and CSV history. It prepares a file only; it does not submit directly to SUNAT.</w:t>
      </w:r>
    </w:p>
    <w:p>
      <w:pPr>
        <w:numPr>
          <w:ilvl w:val="0"/>
          <w:numId w:val="10"/>
        </w:numPr>
        <w:spacing w:after="80" w:line="300" w:lineRule="auto"/>
        <w:ind w:left="540" w:hanging="271"/>
      </w:pPr>
      <w:r>
        <w:rPr>
          <w:rFonts w:ascii="Calibri" w:hAnsi="Calibri" w:eastAsia="Calibri"/>
          <w:b/>
          <w:i w:val="0"/>
          <w:color w:val="17212B"/>
          <w:sz w:val="21"/>
        </w:rPr>
        <w:t>Audit Viewer:</w:t>
      </w:r>
      <w:r>
        <w:rPr>
          <w:rFonts w:ascii="Calibri" w:hAnsi="Calibri" w:eastAsia="Calibri"/>
          <w:b w:val="0"/>
          <w:i w:val="0"/>
          <w:color w:val="17212B"/>
          <w:sz w:val="21"/>
        </w:rPr>
        <w:t xml:space="preserve"> Admin/Accounting can search append-only records. Normal application routes cannot update or delete audit events.</w:t>
      </w:r>
    </w:p>
    <w:p>
      <w:pPr>
        <w:pStyle w:val="Heading1"/>
      </w:pPr>
      <w:r>
        <w:t>14. Safety and Daily Use</w:t>
      </w:r>
    </w:p>
    <w:p>
      <w:pPr>
        <w:numPr>
          <w:ilvl w:val="0"/>
          <w:numId w:val="10"/>
        </w:numPr>
        <w:spacing w:after="80" w:line="300" w:lineRule="auto"/>
        <w:ind w:left="540" w:hanging="271"/>
      </w:pPr>
      <w:r>
        <w:rPr>
          <w:rFonts w:ascii="Calibri" w:hAnsi="Calibri" w:eastAsia="Calibri"/>
          <w:b w:val="0"/>
          <w:i w:val="0"/>
          <w:color w:val="17212B"/>
          <w:sz w:val="21"/>
        </w:rPr>
        <w:t>Log out when finished and do not share accounts.</w:t>
      </w:r>
    </w:p>
    <w:p>
      <w:pPr>
        <w:numPr>
          <w:ilvl w:val="0"/>
          <w:numId w:val="10"/>
        </w:numPr>
        <w:spacing w:after="80" w:line="300" w:lineRule="auto"/>
        <w:ind w:left="540" w:hanging="271"/>
      </w:pPr>
      <w:r>
        <w:rPr>
          <w:rFonts w:ascii="Calibri" w:hAnsi="Calibri" w:eastAsia="Calibri"/>
          <w:b w:val="0"/>
          <w:i w:val="0"/>
          <w:color w:val="17212B"/>
          <w:sz w:val="21"/>
        </w:rPr>
        <w:t>Read the result text in every confirmation dialog.</w:t>
      </w:r>
    </w:p>
    <w:p>
      <w:pPr>
        <w:numPr>
          <w:ilvl w:val="0"/>
          <w:numId w:val="10"/>
        </w:numPr>
        <w:spacing w:after="80" w:line="300" w:lineRule="auto"/>
        <w:ind w:left="540" w:hanging="271"/>
      </w:pPr>
      <w:r>
        <w:rPr>
          <w:rFonts w:ascii="Calibri" w:hAnsi="Calibri" w:eastAsia="Calibri"/>
          <w:b w:val="0"/>
          <w:i w:val="0"/>
          <w:color w:val="17212B"/>
          <w:sz w:val="21"/>
        </w:rPr>
        <w:t>Use comments that explain the business decision.</w:t>
      </w:r>
    </w:p>
    <w:p>
      <w:pPr>
        <w:numPr>
          <w:ilvl w:val="0"/>
          <w:numId w:val="10"/>
        </w:numPr>
        <w:spacing w:after="80" w:line="300" w:lineRule="auto"/>
        <w:ind w:left="540" w:hanging="271"/>
      </w:pPr>
      <w:r>
        <w:rPr>
          <w:rFonts w:ascii="Calibri" w:hAnsi="Calibri" w:eastAsia="Calibri"/>
          <w:b w:val="0"/>
          <w:i w:val="0"/>
          <w:color w:val="17212B"/>
          <w:sz w:val="21"/>
        </w:rPr>
        <w:t>Never treat a downloaded TXT as proof of payment.</w:t>
      </w:r>
    </w:p>
    <w:p>
      <w:pPr>
        <w:numPr>
          <w:ilvl w:val="0"/>
          <w:numId w:val="10"/>
        </w:numPr>
        <w:spacing w:after="80" w:line="300" w:lineRule="auto"/>
        <w:ind w:left="540" w:hanging="271"/>
      </w:pPr>
      <w:r>
        <w:rPr>
          <w:rFonts w:ascii="Calibri" w:hAnsi="Calibri" w:eastAsia="Calibri"/>
          <w:b w:val="0"/>
          <w:i w:val="0"/>
          <w:color w:val="17212B"/>
          <w:sz w:val="21"/>
        </w:rPr>
        <w:t>Do not change historical records to match new master data.</w:t>
      </w:r>
    </w:p>
    <w:p>
      <w:pPr>
        <w:numPr>
          <w:ilvl w:val="0"/>
          <w:numId w:val="10"/>
        </w:numPr>
        <w:spacing w:after="80" w:line="300" w:lineRule="auto"/>
        <w:ind w:left="540" w:hanging="271"/>
      </w:pPr>
      <w:r>
        <w:rPr>
          <w:rFonts w:ascii="Calibri" w:hAnsi="Calibri" w:eastAsia="Calibri"/>
          <w:b w:val="0"/>
          <w:i w:val="0"/>
          <w:color w:val="17212B"/>
          <w:sz w:val="21"/>
        </w:rPr>
        <w:t>Back up MongoDB, uploads, and generated files together.</w:t>
      </w:r>
    </w:p>
    <w:p>
      <w:pPr>
        <w:numPr>
          <w:ilvl w:val="0"/>
          <w:numId w:val="10"/>
        </w:numPr>
        <w:spacing w:after="80" w:line="300" w:lineRule="auto"/>
        <w:ind w:left="540" w:hanging="271"/>
      </w:pPr>
      <w:r>
        <w:rPr>
          <w:rFonts w:ascii="Calibri" w:hAnsi="Calibri" w:eastAsia="Calibri"/>
          <w:b w:val="0"/>
          <w:i w:val="0"/>
          <w:color w:val="17212B"/>
          <w:sz w:val="21"/>
        </w:rPr>
        <w:t xml:space="preserve">Contact an administrator when the message contains a structured code such as </w:t>
      </w:r>
      <w:r>
        <w:rPr>
          <w:rFonts w:ascii="Consolas" w:hAnsi="Consolas" w:eastAsia="Consolas"/>
          <w:b w:val="0"/>
          <w:i w:val="0"/>
          <w:color w:val="173B57"/>
          <w:sz w:val="20"/>
          <w:shd w:fill="E8EEF5" w:val="clear"/>
        </w:rPr>
        <w:t>ACCOUNTING_PERIOD_CLOSED</w:t>
      </w:r>
      <w:r>
        <w:rPr>
          <w:rFonts w:ascii="Calibri" w:hAnsi="Calibri" w:eastAsia="Calibri"/>
          <w:b w:val="0"/>
          <w:i w:val="0"/>
          <w:color w:val="17212B"/>
          <w:sz w:val="21"/>
        </w:rPr>
        <w:t xml:space="preserve">, </w:t>
      </w:r>
      <w:r>
        <w:rPr>
          <w:rFonts w:ascii="Consolas" w:hAnsi="Consolas" w:eastAsia="Consolas"/>
          <w:b w:val="0"/>
          <w:i w:val="0"/>
          <w:color w:val="173B57"/>
          <w:sz w:val="20"/>
          <w:shd w:fill="E8EEF5" w:val="clear"/>
        </w:rPr>
        <w:t>DUPLICATE_VOUCHER</w:t>
      </w:r>
      <w:r>
        <w:rPr>
          <w:rFonts w:ascii="Calibri" w:hAnsi="Calibri" w:eastAsia="Calibri"/>
          <w:b w:val="0"/>
          <w:i w:val="0"/>
          <w:color w:val="17212B"/>
          <w:sz w:val="21"/>
        </w:rPr>
        <w:t xml:space="preserve">, or </w:t>
      </w:r>
      <w:r>
        <w:rPr>
          <w:rFonts w:ascii="Consolas" w:hAnsi="Consolas" w:eastAsia="Consolas"/>
          <w:b w:val="0"/>
          <w:i w:val="0"/>
          <w:color w:val="173B57"/>
          <w:sz w:val="20"/>
          <w:shd w:fill="E8EEF5" w:val="clear"/>
        </w:rPr>
        <w:t>BANK_DETAILS_MISSING</w:t>
      </w:r>
      <w:r>
        <w:rPr>
          <w:rFonts w:ascii="Calibri" w:hAnsi="Calibri" w:eastAsia="Calibri"/>
          <w:b w:val="0"/>
          <w:i w:val="0"/>
          <w:color w:val="17212B"/>
          <w:sz w:val="21"/>
        </w:rPr>
        <w:t>.</w:t>
      </w:r>
    </w:p>
    <w:p>
      <w:r>
        <w:br w:type="page"/>
      </w:r>
    </w:p>
    <w:p>
      <w:pPr>
        <w:pStyle w:val="Heading1"/>
        <w:spacing w:after="280"/>
        <w:jc w:val="center"/>
      </w:pPr>
      <w:r>
        <w:rPr>
          <w:rFonts w:ascii="Calibri" w:hAnsi="Calibri" w:eastAsia="Calibri"/>
          <w:b/>
          <w:i w:val="0"/>
          <w:color w:val="0B2239"/>
          <w:sz w:val="38"/>
        </w:rPr>
        <w:t>Parte II - Español</w:t>
      </w:r>
    </w:p>
    <w:p>
      <w:pPr>
        <w:pStyle w:val="Heading1"/>
      </w:pPr>
      <w:r>
        <w:t>1. Qué hace el sistema</w:t>
      </w:r>
    </w:p>
    <w:p>
      <w:r>
        <w:rPr>
          <w:rFonts w:ascii="Calibri" w:hAnsi="Calibri" w:eastAsia="Calibri"/>
          <w:b w:val="0"/>
          <w:i w:val="0"/>
          <w:color w:val="17212B"/>
          <w:sz w:val="22"/>
        </w:rPr>
        <w:t>El sistema controla un gasto institucional desde la primera solicitud hasta el cierre contable. Mantiene conectados la solicitud, el proveedor, los documentos, las aprobaciones, el presupuesto, la contabilidad, la instrucción bancaria, la confirmación real del pago, la conciliación y la auditoría bajo un solo número.</w:t>
      </w:r>
    </w:p>
    <w:p>
      <w:r>
        <w:rPr>
          <w:rFonts w:ascii="Calibri" w:hAnsi="Calibri" w:eastAsia="Calibri"/>
          <w:b w:val="0"/>
          <w:i w:val="0"/>
          <w:color w:val="17212B"/>
          <w:sz w:val="22"/>
        </w:rPr>
        <w:t>Flujo normal:</w:t>
      </w:r>
    </w:p>
    <w:p>
      <w:pPr>
        <w:spacing w:before="80" w:after="180"/>
        <w:ind w:left="115" w:right="115"/>
        <w:shd w:fill="E7F3F1" w:val="clear"/>
        <w:pBdr>
          <w:left w:val="single" w:sz="20" w:space="8" w:color="0B7F7A"/>
        </w:pBdr>
      </w:pPr>
      <w:r>
        <w:rPr>
          <w:rFonts w:ascii="Consolas" w:hAnsi="Consolas" w:eastAsia="Consolas"/>
          <w:b w:val="0"/>
          <w:i w:val="0"/>
          <w:color w:val="173B57"/>
          <w:sz w:val="21"/>
          <w:shd w:fill="E8EEF5" w:val="clear"/>
        </w:rPr>
        <w:t>Borrador -&gt; Validación -&gt; Envío -&gt; Director -&gt; Vicerrector -&gt; Presupuesto -&gt; Contabilidad/CXP -&gt; Programación de Tesorería -&gt; TXT bancario -&gt; Confirmación real -&gt; Conciliación -&gt; Cierre</w:t>
      </w:r>
    </w:p>
    <w:p>
      <w:pPr>
        <w:spacing w:before="80" w:after="180"/>
        <w:ind w:left="115" w:right="115"/>
        <w:shd w:fill="FFF5D9" w:val="clear"/>
        <w:pBdr>
          <w:left w:val="single" w:sz="20" w:space="8" w:color="8A5A00"/>
        </w:pBdr>
      </w:pPr>
      <w:r>
        <w:rPr>
          <w:rFonts w:ascii="Calibri" w:hAnsi="Calibri" w:eastAsia="Calibri"/>
          <w:b w:val="0"/>
          <w:i w:val="0"/>
          <w:color w:val="17212B"/>
          <w:sz w:val="22"/>
        </w:rPr>
        <w:t>Generar el TXT bancario no significa que el pago fue realizado. Tesorería debe confirmar la operación después de que el banco la ejecute.</w:t>
      </w:r>
    </w:p>
    <w:p>
      <w:pPr>
        <w:pStyle w:val="Heading1"/>
      </w:pPr>
      <w:r>
        <w:t>2. Ingreso y pantalla principal</w:t>
      </w:r>
    </w:p>
    <w:p>
      <w:r>
        <w:rPr>
          <w:rFonts w:ascii="Calibri" w:hAnsi="Calibri" w:eastAsia="Calibri"/>
          <w:b w:val="0"/>
          <w:i w:val="0"/>
          <w:color w:val="17212B"/>
          <w:sz w:val="22"/>
        </w:rPr>
        <w:t>Abra la dirección local o HTTPS compartida e ingrese correo y contraseña. Un usuario inactivo no puede ingresar.</w:t>
      </w:r>
    </w:p>
    <w:p>
      <w:pPr>
        <w:numPr>
          <w:ilvl w:val="0"/>
          <w:numId w:val="10"/>
        </w:numPr>
        <w:spacing w:after="80" w:line="300" w:lineRule="auto"/>
        <w:ind w:left="540" w:hanging="271"/>
      </w:pPr>
      <w:r>
        <w:rPr>
          <w:rFonts w:ascii="Calibri" w:hAnsi="Calibri" w:eastAsia="Calibri"/>
          <w:b/>
          <w:i w:val="0"/>
          <w:color w:val="17212B"/>
          <w:sz w:val="21"/>
        </w:rPr>
        <w:t>Navegación izquierda:</w:t>
      </w:r>
      <w:r>
        <w:rPr>
          <w:rFonts w:ascii="Calibri" w:hAnsi="Calibri" w:eastAsia="Calibri"/>
          <w:b w:val="0"/>
          <w:i w:val="0"/>
          <w:color w:val="17212B"/>
          <w:sz w:val="21"/>
        </w:rPr>
        <w:t xml:space="preserve"> muestra solo las páginas permitidas para su rol. La flecha inferior la contrae. En celular, use el ícono de menú.</w:t>
      </w:r>
    </w:p>
    <w:p>
      <w:pPr>
        <w:numPr>
          <w:ilvl w:val="0"/>
          <w:numId w:val="10"/>
        </w:numPr>
        <w:spacing w:after="80" w:line="300" w:lineRule="auto"/>
        <w:ind w:left="540" w:hanging="271"/>
      </w:pPr>
      <w:r>
        <w:rPr>
          <w:rFonts w:ascii="Calibri" w:hAnsi="Calibri" w:eastAsia="Calibri"/>
          <w:b/>
          <w:i w:val="0"/>
          <w:color w:val="17212B"/>
          <w:sz w:val="21"/>
        </w:rPr>
        <w:t>Título y ruta:</w:t>
      </w:r>
      <w:r>
        <w:rPr>
          <w:rFonts w:ascii="Calibri" w:hAnsi="Calibri" w:eastAsia="Calibri"/>
          <w:b w:val="0"/>
          <w:i w:val="0"/>
          <w:color w:val="17212B"/>
          <w:sz w:val="21"/>
        </w:rPr>
        <w:t xml:space="preserve"> indican la página actual.</w:t>
      </w:r>
    </w:p>
    <w:p>
      <w:pPr>
        <w:numPr>
          <w:ilvl w:val="0"/>
          <w:numId w:val="10"/>
        </w:numPr>
        <w:spacing w:after="80" w:line="300" w:lineRule="auto"/>
        <w:ind w:left="540" w:hanging="271"/>
      </w:pPr>
      <w:r>
        <w:rPr>
          <w:rFonts w:ascii="Calibri" w:hAnsi="Calibri" w:eastAsia="Calibri"/>
          <w:b/>
          <w:i w:val="0"/>
          <w:color w:val="17212B"/>
          <w:sz w:val="21"/>
        </w:rPr>
        <w:t>EN/ES:</w:t>
      </w:r>
      <w:r>
        <w:rPr>
          <w:rFonts w:ascii="Calibri" w:hAnsi="Calibri" w:eastAsia="Calibri"/>
          <w:b w:val="0"/>
          <w:i w:val="0"/>
          <w:color w:val="17212B"/>
          <w:sz w:val="21"/>
        </w:rPr>
        <w:t xml:space="preserve"> cambia la interfaz entre inglés y español.</w:t>
      </w:r>
    </w:p>
    <w:p>
      <w:pPr>
        <w:numPr>
          <w:ilvl w:val="0"/>
          <w:numId w:val="10"/>
        </w:numPr>
        <w:spacing w:after="80" w:line="300" w:lineRule="auto"/>
        <w:ind w:left="540" w:hanging="271"/>
      </w:pPr>
      <w:r>
        <w:rPr>
          <w:rFonts w:ascii="Calibri" w:hAnsi="Calibri" w:eastAsia="Calibri"/>
          <w:b/>
          <w:i w:val="0"/>
          <w:color w:val="17212B"/>
          <w:sz w:val="21"/>
        </w:rPr>
        <w:t>Campana:</w:t>
      </w:r>
      <w:r>
        <w:rPr>
          <w:rFonts w:ascii="Calibri" w:hAnsi="Calibri" w:eastAsia="Calibri"/>
          <w:b w:val="0"/>
          <w:i w:val="0"/>
          <w:color w:val="17212B"/>
          <w:sz w:val="21"/>
        </w:rPr>
        <w:t xml:space="preserve"> muestra tareas y notificaciones del rol.</w:t>
      </w:r>
    </w:p>
    <w:p>
      <w:pPr>
        <w:numPr>
          <w:ilvl w:val="0"/>
          <w:numId w:val="10"/>
        </w:numPr>
        <w:spacing w:after="80" w:line="300" w:lineRule="auto"/>
        <w:ind w:left="540" w:hanging="271"/>
      </w:pPr>
      <w:r>
        <w:rPr>
          <w:rFonts w:ascii="Calibri" w:hAnsi="Calibri" w:eastAsia="Calibri"/>
          <w:b/>
          <w:i w:val="0"/>
          <w:color w:val="17212B"/>
          <w:sz w:val="21"/>
        </w:rPr>
        <w:t>Menú de usuario:</w:t>
      </w:r>
      <w:r>
        <w:rPr>
          <w:rFonts w:ascii="Calibri" w:hAnsi="Calibri" w:eastAsia="Calibri"/>
          <w:b w:val="0"/>
          <w:i w:val="0"/>
          <w:color w:val="17212B"/>
          <w:sz w:val="21"/>
        </w:rPr>
        <w:t xml:space="preserve"> muestra nombre, rol, área y Salir.</w:t>
      </w:r>
    </w:p>
    <w:p>
      <w:pPr>
        <w:numPr>
          <w:ilvl w:val="0"/>
          <w:numId w:val="10"/>
        </w:numPr>
        <w:spacing w:after="80" w:line="300" w:lineRule="auto"/>
        <w:ind w:left="540" w:hanging="271"/>
      </w:pPr>
      <w:r>
        <w:rPr>
          <w:rFonts w:ascii="Calibri" w:hAnsi="Calibri" w:eastAsia="Calibri"/>
          <w:b/>
          <w:i w:val="0"/>
          <w:color w:val="17212B"/>
          <w:sz w:val="21"/>
        </w:rPr>
        <w:t>Menú de tres puntos:</w:t>
      </w:r>
      <w:r>
        <w:rPr>
          <w:rFonts w:ascii="Calibri" w:hAnsi="Calibri" w:eastAsia="Calibri"/>
          <w:b w:val="0"/>
          <w:i w:val="0"/>
          <w:color w:val="17212B"/>
          <w:sz w:val="21"/>
        </w:rPr>
        <w:t xml:space="preserve"> abre las acciones de una fila. En celular aparece como una hoja de acciones inferior.</w:t>
      </w:r>
    </w:p>
    <w:p>
      <w:r>
        <w:rPr>
          <w:rFonts w:ascii="Calibri" w:hAnsi="Calibri" w:eastAsia="Calibri"/>
          <w:b w:val="0"/>
          <w:i w:val="0"/>
          <w:color w:val="17212B"/>
          <w:sz w:val="22"/>
        </w:rPr>
        <w:t>Las tablas permiten Buscar, filtrar, ordenar, cambiar filas por página, avanzar o retroceder, ver resultados y Limpiar filtros. Los cuadros de selección se usan para acciones masivas.</w:t>
      </w:r>
    </w:p>
    <w:p>
      <w:pPr>
        <w:pStyle w:val="Heading1"/>
      </w:pPr>
      <w:r>
        <w:t>3. Roles y acceso</w:t>
      </w:r>
    </w:p>
    <w:tbl>
      <w:tblPr>
        <w:tblW w:type="dxa" w:w="9360"/>
        <w:tblLayout w:type="fixed"/>
        <w:tblLook w:firstColumn="1" w:firstRow="1" w:lastColumn="0" w:lastRow="0" w:noHBand="0" w:noVBand="1" w:val="04A0"/>
        <w:jc w:val="left"/>
        <w:tblBorders>
          <w:top w:val="single" w:sz="6" w:space="0" w:color="DCE3E7"/>
          <w:left w:val="single" w:sz="6" w:space="0" w:color="DCE3E7"/>
          <w:bottom w:val="single" w:sz="6" w:space="0" w:color="DCE3E7"/>
          <w:right w:val="single" w:sz="6" w:space="0" w:color="DCE3E7"/>
          <w:insideH w:val="single" w:sz="6" w:space="0" w:color="DCE3E7"/>
          <w:insideV w:val="single" w:sz="6" w:space="0" w:color="DCE3E7"/>
        </w:tblBorders>
        <w:tblInd w:w="120" w:type="dxa"/>
      </w:tblPr>
      <w:tblGrid>
        <w:gridCol w:w="2200"/>
        <w:gridCol w:w="7160"/>
      </w:tblGrid>
      <w:tr>
        <w:trPr>
          <w:tblHeader w:val="true"/>
          <w:cantSplit/>
        </w:trPr>
        <w:tc>
          <w:tcPr>
            <w:tcW w:type="dxa" w:w="2200"/>
            <w:shd w:fill="0B2239" w:val="clear"/>
            <w:tcMar>
              <w:top w:w="80" w:type="dxa"/>
              <w:start w:w="120" w:type="dxa"/>
              <w:bottom w:w="80" w:type="dxa"/>
              <w:end w:w="120" w:type="dxa"/>
            </w:tcMar>
            <w:vAlign w:val="center"/>
          </w:tcPr>
          <w:p>
            <w:pPr>
              <w:spacing w:after="0"/>
            </w:pPr>
            <w:r>
              <w:rPr>
                <w:rFonts w:ascii="Calibri" w:hAnsi="Calibri" w:eastAsia="Calibri"/>
                <w:b/>
                <w:i w:val="0"/>
                <w:color w:val="FFFFFF"/>
                <w:sz w:val="18"/>
              </w:rPr>
              <w:t>Rol</w:t>
            </w:r>
          </w:p>
        </w:tc>
        <w:tc>
          <w:tcPr>
            <w:tcW w:type="dxa" w:w="7160"/>
            <w:shd w:fill="0B2239" w:val="clear"/>
            <w:tcMar>
              <w:top w:w="80" w:type="dxa"/>
              <w:start w:w="120" w:type="dxa"/>
              <w:bottom w:w="80" w:type="dxa"/>
              <w:end w:w="120" w:type="dxa"/>
            </w:tcMar>
            <w:vAlign w:val="center"/>
          </w:tcPr>
          <w:p>
            <w:pPr>
              <w:spacing w:after="0"/>
            </w:pPr>
            <w:r>
              <w:rPr>
                <w:rFonts w:ascii="Calibri" w:hAnsi="Calibri" w:eastAsia="Calibri"/>
                <w:b/>
                <w:i w:val="0"/>
                <w:color w:val="FFFFFF"/>
                <w:sz w:val="18"/>
              </w:rPr>
              <w:t>Trabajo principal</w:t>
            </w:r>
          </w:p>
        </w:tc>
      </w:tr>
      <w:tr>
        <w:trPr>
          <w:cantSplit/>
        </w:trPr>
        <w:tc>
          <w:tcPr>
            <w:tcW w:type="dxa" w:w="2200"/>
            <w:shd w:fill="FFFFFF" w:val="clear"/>
            <w:tcMar>
              <w:top w:w="80" w:type="dxa"/>
              <w:start w:w="120" w:type="dxa"/>
              <w:bottom w:w="80" w:type="dxa"/>
              <w:end w:w="120" w:type="dxa"/>
            </w:tcMar>
            <w:vAlign w:val="center"/>
          </w:tcPr>
          <w:p>
            <w:pPr>
              <w:spacing w:after="0" w:line="252" w:lineRule="auto"/>
            </w:pPr>
            <w:r>
              <w:rPr>
                <w:rFonts w:ascii="Calibri" w:hAnsi="Calibri" w:eastAsia="Calibri"/>
                <w:b/>
                <w:i w:val="0"/>
                <w:color w:val="17212B"/>
                <w:sz w:val="18"/>
              </w:rPr>
              <w:t>Admin</w:t>
            </w:r>
          </w:p>
        </w:tc>
        <w:tc>
          <w:tcPr>
            <w:tcW w:type="dxa" w:w="7160"/>
            <w:shd w:fill="FFFFFF" w:val="clear"/>
            <w:tcMar>
              <w:top w:w="80" w:type="dxa"/>
              <w:start w:w="120" w:type="dxa"/>
              <w:bottom w:w="80" w:type="dxa"/>
              <w:end w:w="120" w:type="dxa"/>
            </w:tcMar>
            <w:vAlign w:val="center"/>
          </w:tcPr>
          <w:p>
            <w:pPr>
              <w:spacing w:after="0" w:line="252" w:lineRule="auto"/>
            </w:pPr>
            <w:r>
              <w:rPr>
                <w:rFonts w:ascii="Calibri" w:hAnsi="Calibri" w:eastAsia="Calibri"/>
                <w:b w:val="0"/>
                <w:i w:val="0"/>
                <w:color w:val="17212B"/>
                <w:sz w:val="18"/>
              </w:rPr>
              <w:t>Usuarios, configuración técnica/maestra, todos los registros y excepciones auditadas.</w:t>
            </w:r>
          </w:p>
        </w:tc>
      </w:tr>
      <w:tr>
        <w:trPr>
          <w:cantSplit/>
        </w:trPr>
        <w:tc>
          <w:tcPr>
            <w:tcW w:type="dxa" w:w="2200"/>
            <w:shd w:fill="F5F7F8" w:val="clear"/>
            <w:tcMar>
              <w:top w:w="80" w:type="dxa"/>
              <w:start w:w="120" w:type="dxa"/>
              <w:bottom w:w="80" w:type="dxa"/>
              <w:end w:w="120" w:type="dxa"/>
            </w:tcMar>
            <w:vAlign w:val="center"/>
          </w:tcPr>
          <w:p>
            <w:pPr>
              <w:spacing w:after="0" w:line="252" w:lineRule="auto"/>
            </w:pPr>
            <w:r>
              <w:rPr>
                <w:rFonts w:ascii="Calibri" w:hAnsi="Calibri" w:eastAsia="Calibri"/>
                <w:b/>
                <w:i w:val="0"/>
                <w:color w:val="17212B"/>
                <w:sz w:val="18"/>
              </w:rPr>
              <w:t>Solicitante</w:t>
            </w:r>
          </w:p>
        </w:tc>
        <w:tc>
          <w:tcPr>
            <w:tcW w:type="dxa" w:w="7160"/>
            <w:shd w:fill="F5F7F8" w:val="clear"/>
            <w:tcMar>
              <w:top w:w="80" w:type="dxa"/>
              <w:start w:w="120" w:type="dxa"/>
              <w:bottom w:w="80" w:type="dxa"/>
              <w:end w:w="120" w:type="dxa"/>
            </w:tcMar>
            <w:vAlign w:val="center"/>
          </w:tcPr>
          <w:p>
            <w:pPr>
              <w:spacing w:after="0" w:line="252" w:lineRule="auto"/>
            </w:pPr>
            <w:r>
              <w:rPr>
                <w:rFonts w:ascii="Calibri" w:hAnsi="Calibri" w:eastAsia="Calibri"/>
                <w:b w:val="0"/>
                <w:i w:val="0"/>
                <w:color w:val="17212B"/>
                <w:sz w:val="18"/>
              </w:rPr>
              <w:t>Solicitudes propias, borradores/correcciones, propuestas de proveedor y rendiciones.</w:t>
            </w:r>
          </w:p>
        </w:tc>
      </w:tr>
      <w:tr>
        <w:trPr>
          <w:cantSplit/>
        </w:trPr>
        <w:tc>
          <w:tcPr>
            <w:tcW w:type="dxa" w:w="2200"/>
            <w:shd w:fill="FFFFFF" w:val="clear"/>
            <w:tcMar>
              <w:top w:w="80" w:type="dxa"/>
              <w:start w:w="120" w:type="dxa"/>
              <w:bottom w:w="80" w:type="dxa"/>
              <w:end w:w="120" w:type="dxa"/>
            </w:tcMar>
            <w:vAlign w:val="center"/>
          </w:tcPr>
          <w:p>
            <w:pPr>
              <w:spacing w:after="0" w:line="252" w:lineRule="auto"/>
            </w:pPr>
            <w:r>
              <w:rPr>
                <w:rFonts w:ascii="Calibri" w:hAnsi="Calibri" w:eastAsia="Calibri"/>
                <w:b/>
                <w:i w:val="0"/>
                <w:color w:val="17212B"/>
                <w:sz w:val="18"/>
              </w:rPr>
              <w:t>Aprobador - Director de Área</w:t>
            </w:r>
          </w:p>
        </w:tc>
        <w:tc>
          <w:tcPr>
            <w:tcW w:type="dxa" w:w="7160"/>
            <w:shd w:fill="FFFFFF" w:val="clear"/>
            <w:tcMar>
              <w:top w:w="80" w:type="dxa"/>
              <w:start w:w="120" w:type="dxa"/>
              <w:bottom w:w="80" w:type="dxa"/>
              <w:end w:w="120" w:type="dxa"/>
            </w:tcMar>
            <w:vAlign w:val="center"/>
          </w:tcPr>
          <w:p>
            <w:pPr>
              <w:spacing w:after="0" w:line="252" w:lineRule="auto"/>
            </w:pPr>
            <w:r>
              <w:rPr>
                <w:rFonts w:ascii="Calibri" w:hAnsi="Calibri" w:eastAsia="Calibri"/>
                <w:b w:val="0"/>
                <w:i w:val="0"/>
                <w:color w:val="17212B"/>
                <w:sz w:val="18"/>
              </w:rPr>
              <w:t>Solicitudes asignadas al nivel Director.</w:t>
            </w:r>
          </w:p>
        </w:tc>
      </w:tr>
      <w:tr>
        <w:trPr>
          <w:cantSplit/>
        </w:trPr>
        <w:tc>
          <w:tcPr>
            <w:tcW w:type="dxa" w:w="2200"/>
            <w:shd w:fill="F5F7F8" w:val="clear"/>
            <w:tcMar>
              <w:top w:w="80" w:type="dxa"/>
              <w:start w:w="120" w:type="dxa"/>
              <w:bottom w:w="80" w:type="dxa"/>
              <w:end w:w="120" w:type="dxa"/>
            </w:tcMar>
            <w:vAlign w:val="center"/>
          </w:tcPr>
          <w:p>
            <w:pPr>
              <w:spacing w:after="0" w:line="252" w:lineRule="auto"/>
            </w:pPr>
            <w:r>
              <w:rPr>
                <w:rFonts w:ascii="Calibri" w:hAnsi="Calibri" w:eastAsia="Calibri"/>
                <w:b/>
                <w:i w:val="0"/>
                <w:color w:val="17212B"/>
                <w:sz w:val="18"/>
              </w:rPr>
              <w:t>Aprobador - Vicerrector</w:t>
            </w:r>
          </w:p>
        </w:tc>
        <w:tc>
          <w:tcPr>
            <w:tcW w:type="dxa" w:w="7160"/>
            <w:shd w:fill="F5F7F8" w:val="clear"/>
            <w:tcMar>
              <w:top w:w="80" w:type="dxa"/>
              <w:start w:w="120" w:type="dxa"/>
              <w:bottom w:w="80" w:type="dxa"/>
              <w:end w:w="120" w:type="dxa"/>
            </w:tcMar>
            <w:vAlign w:val="center"/>
          </w:tcPr>
          <w:p>
            <w:pPr>
              <w:spacing w:after="0" w:line="252" w:lineRule="auto"/>
            </w:pPr>
            <w:r>
              <w:rPr>
                <w:rFonts w:ascii="Calibri" w:hAnsi="Calibri" w:eastAsia="Calibri"/>
                <w:b w:val="0"/>
                <w:i w:val="0"/>
                <w:color w:val="17212B"/>
                <w:sz w:val="18"/>
              </w:rPr>
              <w:t>Solicitudes asignadas al nivel Vicerrector.</w:t>
            </w:r>
          </w:p>
        </w:tc>
      </w:tr>
      <w:tr>
        <w:trPr>
          <w:cantSplit/>
        </w:trPr>
        <w:tc>
          <w:tcPr>
            <w:tcW w:type="dxa" w:w="2200"/>
            <w:shd w:fill="FFFFFF" w:val="clear"/>
            <w:tcMar>
              <w:top w:w="80" w:type="dxa"/>
              <w:start w:w="120" w:type="dxa"/>
              <w:bottom w:w="80" w:type="dxa"/>
              <w:end w:w="120" w:type="dxa"/>
            </w:tcMar>
            <w:vAlign w:val="center"/>
          </w:tcPr>
          <w:p>
            <w:pPr>
              <w:spacing w:after="0" w:line="252" w:lineRule="auto"/>
            </w:pPr>
            <w:r>
              <w:rPr>
                <w:rFonts w:ascii="Calibri" w:hAnsi="Calibri" w:eastAsia="Calibri"/>
                <w:b/>
                <w:i w:val="0"/>
                <w:color w:val="17212B"/>
                <w:sz w:val="18"/>
              </w:rPr>
              <w:t>Contabilidad</w:t>
            </w:r>
          </w:p>
        </w:tc>
        <w:tc>
          <w:tcPr>
            <w:tcW w:type="dxa" w:w="7160"/>
            <w:shd w:fill="FFFFFF" w:val="clear"/>
            <w:tcMar>
              <w:top w:w="80" w:type="dxa"/>
              <w:start w:w="120" w:type="dxa"/>
              <w:bottom w:w="80" w:type="dxa"/>
              <w:end w:w="120" w:type="dxa"/>
            </w:tcMar>
            <w:vAlign w:val="center"/>
          </w:tcPr>
          <w:p>
            <w:pPr>
              <w:spacing w:after="0" w:line="252" w:lineRule="auto"/>
            </w:pPr>
            <w:r>
              <w:rPr>
                <w:rFonts w:ascii="Calibri" w:hAnsi="Calibri" w:eastAsia="Calibri"/>
                <w:b w:val="0"/>
                <w:i w:val="0"/>
                <w:color w:val="17212B"/>
                <w:sz w:val="18"/>
              </w:rPr>
              <w:t>Homologación, períodos, validación fiscal, CXP, asientos, tipo de cambio, SIRE y auditoría.</w:t>
            </w:r>
          </w:p>
        </w:tc>
      </w:tr>
      <w:tr>
        <w:trPr>
          <w:cantSplit/>
        </w:trPr>
        <w:tc>
          <w:tcPr>
            <w:tcW w:type="dxa" w:w="2200"/>
            <w:shd w:fill="F5F7F8" w:val="clear"/>
            <w:tcMar>
              <w:top w:w="80" w:type="dxa"/>
              <w:start w:w="120" w:type="dxa"/>
              <w:bottom w:w="80" w:type="dxa"/>
              <w:end w:w="120" w:type="dxa"/>
            </w:tcMar>
            <w:vAlign w:val="center"/>
          </w:tcPr>
          <w:p>
            <w:pPr>
              <w:spacing w:after="0" w:line="252" w:lineRule="auto"/>
            </w:pPr>
            <w:r>
              <w:rPr>
                <w:rFonts w:ascii="Calibri" w:hAnsi="Calibri" w:eastAsia="Calibri"/>
                <w:b/>
                <w:i w:val="0"/>
                <w:color w:val="17212B"/>
                <w:sz w:val="18"/>
              </w:rPr>
              <w:t>Tesorería</w:t>
            </w:r>
          </w:p>
        </w:tc>
        <w:tc>
          <w:tcPr>
            <w:tcW w:type="dxa" w:w="7160"/>
            <w:shd w:fill="F5F7F8" w:val="clear"/>
            <w:tcMar>
              <w:top w:w="80" w:type="dxa"/>
              <w:start w:w="120" w:type="dxa"/>
              <w:bottom w:w="80" w:type="dxa"/>
              <w:end w:w="120" w:type="dxa"/>
            </w:tcMar>
            <w:vAlign w:val="center"/>
          </w:tcPr>
          <w:p>
            <w:pPr>
              <w:spacing w:after="0" w:line="252" w:lineRule="auto"/>
            </w:pPr>
            <w:r>
              <w:rPr>
                <w:rFonts w:ascii="Calibri" w:hAnsi="Calibri" w:eastAsia="Calibri"/>
                <w:b w:val="0"/>
                <w:i w:val="0"/>
                <w:color w:val="17212B"/>
                <w:sz w:val="18"/>
              </w:rPr>
              <w:t>Programación, archivos bancarios, confirmación real y conciliación.</w:t>
            </w:r>
          </w:p>
        </w:tc>
      </w:tr>
      <w:tr>
        <w:trPr>
          <w:cantSplit/>
        </w:trPr>
        <w:tc>
          <w:tcPr>
            <w:tcW w:type="dxa" w:w="2200"/>
            <w:shd w:fill="FFFFFF" w:val="clear"/>
            <w:tcMar>
              <w:top w:w="80" w:type="dxa"/>
              <w:start w:w="120" w:type="dxa"/>
              <w:bottom w:w="80" w:type="dxa"/>
              <w:end w:w="120" w:type="dxa"/>
            </w:tcMar>
            <w:vAlign w:val="center"/>
          </w:tcPr>
          <w:p>
            <w:pPr>
              <w:spacing w:after="0" w:line="252" w:lineRule="auto"/>
            </w:pPr>
            <w:r>
              <w:rPr>
                <w:rFonts w:ascii="Calibri" w:hAnsi="Calibri" w:eastAsia="Calibri"/>
                <w:b/>
                <w:i w:val="0"/>
                <w:color w:val="17212B"/>
                <w:sz w:val="18"/>
              </w:rPr>
              <w:t>Presupuesto</w:t>
            </w:r>
          </w:p>
        </w:tc>
        <w:tc>
          <w:tcPr>
            <w:tcW w:type="dxa" w:w="7160"/>
            <w:shd w:fill="FFFFFF" w:val="clear"/>
            <w:tcMar>
              <w:top w:w="80" w:type="dxa"/>
              <w:start w:w="120" w:type="dxa"/>
              <w:bottom w:w="80" w:type="dxa"/>
              <w:end w:w="120" w:type="dxa"/>
            </w:tcMar>
            <w:vAlign w:val="center"/>
          </w:tcPr>
          <w:p>
            <w:pPr>
              <w:spacing w:after="0" w:line="252" w:lineRule="auto"/>
            </w:pPr>
            <w:r>
              <w:rPr>
                <w:rFonts w:ascii="Calibri" w:hAnsi="Calibri" w:eastAsia="Calibri"/>
                <w:b w:val="0"/>
                <w:i w:val="0"/>
                <w:color w:val="17212B"/>
                <w:sz w:val="18"/>
              </w:rPr>
              <w:t>Asignaciones, compromisos, excepciones y control presupuestal.</w:t>
            </w:r>
          </w:p>
        </w:tc>
      </w:tr>
      <w:tr>
        <w:trPr>
          <w:cantSplit/>
        </w:trPr>
        <w:tc>
          <w:tcPr>
            <w:tcW w:type="dxa" w:w="2200"/>
            <w:shd w:fill="F5F7F8" w:val="clear"/>
            <w:tcMar>
              <w:top w:w="80" w:type="dxa"/>
              <w:start w:w="120" w:type="dxa"/>
              <w:bottom w:w="80" w:type="dxa"/>
              <w:end w:w="120" w:type="dxa"/>
            </w:tcMar>
            <w:vAlign w:val="center"/>
          </w:tcPr>
          <w:p>
            <w:pPr>
              <w:spacing w:after="0" w:line="252" w:lineRule="auto"/>
            </w:pPr>
            <w:r>
              <w:rPr>
                <w:rFonts w:ascii="Calibri" w:hAnsi="Calibri" w:eastAsia="Calibri"/>
                <w:b/>
                <w:i w:val="0"/>
                <w:color w:val="17212B"/>
                <w:sz w:val="18"/>
              </w:rPr>
              <w:t>Gerencia/Rectorado</w:t>
            </w:r>
          </w:p>
        </w:tc>
        <w:tc>
          <w:tcPr>
            <w:tcW w:type="dxa" w:w="7160"/>
            <w:shd w:fill="F5F7F8" w:val="clear"/>
            <w:tcMar>
              <w:top w:w="80" w:type="dxa"/>
              <w:start w:w="120" w:type="dxa"/>
              <w:bottom w:w="80" w:type="dxa"/>
              <w:end w:w="120" w:type="dxa"/>
            </w:tcMar>
            <w:vAlign w:val="center"/>
          </w:tcPr>
          <w:p>
            <w:pPr>
              <w:spacing w:after="0" w:line="252" w:lineRule="auto"/>
            </w:pPr>
            <w:r>
              <w:rPr>
                <w:rFonts w:ascii="Calibri" w:hAnsi="Calibri" w:eastAsia="Calibri"/>
                <w:b w:val="0"/>
                <w:i w:val="0"/>
                <w:color w:val="17212B"/>
                <w:sz w:val="18"/>
              </w:rPr>
              <w:t>Indicadores ejecutivos y aprobaciones extraordinarias configuradas.</w:t>
            </w:r>
          </w:p>
        </w:tc>
      </w:tr>
    </w:tbl>
    <w:p>
      <w:pPr>
        <w:spacing w:after="40"/>
      </w:pPr>
    </w:p>
    <w:p>
      <w:r>
        <w:rPr>
          <w:rFonts w:ascii="Calibri" w:hAnsi="Calibri" w:eastAsia="Calibri"/>
          <w:b w:val="0"/>
          <w:i w:val="0"/>
          <w:color w:val="17212B"/>
          <w:sz w:val="22"/>
        </w:rPr>
        <w:t>El servidor vuelve a validar el permiso en cada acción. Ocultar o mostrar un botón no es la única protección.</w:t>
      </w:r>
    </w:p>
    <w:p>
      <w:pPr>
        <w:pStyle w:val="Heading1"/>
      </w:pPr>
      <w:r>
        <w:t>4. Dashboard</w:t>
      </w:r>
    </w:p>
    <w:p>
      <w:pPr>
        <w:keepNext/>
        <w:spacing w:before="40" w:after="0"/>
        <w:jc w:val="center"/>
      </w:pPr>
      <w:r>
        <w:drawing>
          <wp:inline xmlns:a="http://schemas.openxmlformats.org/drawingml/2006/main" xmlns:pic="http://schemas.openxmlformats.org/drawingml/2006/picture">
            <wp:extent cx="5715000" cy="4284896"/>
            <wp:docPr id="5" name="Picture 5" title="Role-specific admin dashboard" descr="Desktop dashboard showing dark navigation, recent requests, status distribution and task counters."/>
            <wp:cNvGraphicFramePr>
              <a:graphicFrameLocks noChangeAspect="1"/>
            </wp:cNvGraphicFramePr>
            <a:graphic>
              <a:graphicData uri="http://schemas.openxmlformats.org/drawingml/2006/picture">
                <pic:pic>
                  <pic:nvPicPr>
                    <pic:cNvPr id="0" name="admin-dashboard-final-1280.jpg"/>
                    <pic:cNvPicPr/>
                  </pic:nvPicPr>
                  <pic:blipFill>
                    <a:blip r:embed="rId13"/>
                    <a:stretch>
                      <a:fillRect/>
                    </a:stretch>
                  </pic:blipFill>
                  <pic:spPr>
                    <a:xfrm>
                      <a:off x="0" y="0"/>
                      <a:ext cx="5715000" cy="4284896"/>
                    </a:xfrm>
                    <a:prstGeom prst="rect"/>
                  </pic:spPr>
                </pic:pic>
              </a:graphicData>
            </a:graphic>
          </wp:inline>
        </w:drawing>
      </w:r>
    </w:p>
    <w:p>
      <w:pPr>
        <w:pStyle w:val="Caption"/>
        <w:jc w:val="center"/>
      </w:pPr>
      <w:r>
        <w:rPr>
          <w:rFonts w:ascii="Calibri" w:hAnsi="Calibri" w:eastAsia="Calibri"/>
          <w:b w:val="0"/>
          <w:i w:val="0"/>
          <w:color w:val="5D6A75"/>
          <w:sz w:val="17"/>
        </w:rPr>
        <w:t>Ejemplo: el Dashboard de Admin resume solicitudes reales, usuarios y salud del flujo.</w:t>
      </w:r>
    </w:p>
    <w:p>
      <w:r>
        <w:rPr>
          <w:rFonts w:ascii="Calibri" w:hAnsi="Calibri" w:eastAsia="Calibri"/>
          <w:b w:val="0"/>
          <w:i w:val="0"/>
          <w:color w:val="17212B"/>
          <w:sz w:val="22"/>
        </w:rPr>
        <w:t>El Dashboard cambia según el rol: el Solicitante ve borradores, correcciones y rendiciones; el Aprobador ve pendientes, montos y SLA; Contabilidad ve período, cola fiscal, CXP y asientos; Tesorería ve pagos, monedas, datos bancarios, lotes y conciliaciones; Presupuesto ve Asignado, Comprometido, Ejecutado, Pagado y Disponible; Gerencia ve ejecución global y tendencias; Admin ve salud general, usuarios y alertas maestras.</w:t>
      </w:r>
    </w:p>
    <w:p>
      <w:r>
        <w:rPr>
          <w:rFonts w:ascii="Calibri" w:hAnsi="Calibri" w:eastAsia="Calibri"/>
          <w:b w:val="0"/>
          <w:i w:val="0"/>
          <w:color w:val="17212B"/>
          <w:sz w:val="22"/>
        </w:rPr>
        <w:t>Seleccione una tarea o fila para abrir el trabajo relacionado.</w:t>
      </w:r>
    </w:p>
    <w:p>
      <w:pPr>
        <w:pStyle w:val="Heading1"/>
      </w:pPr>
      <w:r>
        <w:t>5. Crear o corregir una solicitud</w:t>
      </w:r>
    </w:p>
    <w:p>
      <w:r>
        <w:rPr>
          <w:rFonts w:ascii="Calibri" w:hAnsi="Calibri" w:eastAsia="Calibri"/>
          <w:b w:val="0"/>
          <w:i w:val="0"/>
          <w:color w:val="17212B"/>
          <w:sz w:val="22"/>
        </w:rPr>
        <w:t xml:space="preserve">Vaya a </w:t>
      </w:r>
      <w:r>
        <w:rPr>
          <w:rFonts w:ascii="Calibri" w:hAnsi="Calibri" w:eastAsia="Calibri"/>
          <w:b/>
          <w:i w:val="0"/>
          <w:color w:val="17212B"/>
          <w:sz w:val="22"/>
        </w:rPr>
        <w:t>Solicitudes</w:t>
      </w:r>
      <w:r>
        <w:rPr>
          <w:rFonts w:ascii="Calibri" w:hAnsi="Calibri" w:eastAsia="Calibri"/>
          <w:b w:val="0"/>
          <w:i w:val="0"/>
          <w:color w:val="17212B"/>
          <w:sz w:val="22"/>
        </w:rPr>
        <w:t xml:space="preserve"> y seleccione </w:t>
      </w:r>
      <w:r>
        <w:rPr>
          <w:rFonts w:ascii="Calibri" w:hAnsi="Calibri" w:eastAsia="Calibri"/>
          <w:b/>
          <w:i w:val="0"/>
          <w:color w:val="17212B"/>
          <w:sz w:val="22"/>
        </w:rPr>
        <w:t>Nueva solicitud</w:t>
      </w:r>
      <w:r>
        <w:rPr>
          <w:rFonts w:ascii="Calibri" w:hAnsi="Calibri" w:eastAsia="Calibri"/>
          <w:b w:val="0"/>
          <w:i w:val="0"/>
          <w:color w:val="17212B"/>
          <w:sz w:val="22"/>
        </w:rPr>
        <w:t>.</w:t>
      </w:r>
    </w:p>
    <w:p>
      <w:pPr>
        <w:pStyle w:val="Heading2"/>
      </w:pPr>
      <w:r>
        <w:t>Paso 1 - Información básica</w:t>
      </w:r>
    </w:p>
    <w:p>
      <w:r>
        <w:rPr>
          <w:rFonts w:ascii="Calibri" w:hAnsi="Calibri" w:eastAsia="Calibri"/>
          <w:b w:val="0"/>
          <w:i w:val="0"/>
          <w:color w:val="17212B"/>
          <w:sz w:val="22"/>
        </w:rPr>
        <w:t>Seleccione tipo, naturaleza del gasto, fecha/período, proveedor, prioridad, moneda y proyecto; escriba una justificación clara. El sistema propone el Centro de Costos del perfil. Otro Centro de Costos solo puede usarse si está autorizado.</w:t>
      </w:r>
    </w:p>
    <w:p>
      <w:r>
        <w:rPr>
          <w:rFonts w:ascii="Calibri" w:hAnsi="Calibri" w:eastAsia="Calibri"/>
          <w:b w:val="0"/>
          <w:i w:val="0"/>
          <w:color w:val="17212B"/>
          <w:sz w:val="22"/>
        </w:rPr>
        <w:t>Para USD se exige un tipo de cambio exacto de la fecha. PEN siempre usa 1.</w:t>
      </w:r>
    </w:p>
    <w:p>
      <w:pPr>
        <w:pStyle w:val="Heading2"/>
      </w:pPr>
      <w:r>
        <w:t>Paso 2 - Líneas contables</w:t>
      </w:r>
    </w:p>
    <w:p>
      <w:r>
        <w:rPr>
          <w:rFonts w:ascii="Calibri" w:hAnsi="Calibri" w:eastAsia="Calibri"/>
          <w:b w:val="0"/>
          <w:i w:val="0"/>
          <w:color w:val="17212B"/>
          <w:sz w:val="22"/>
        </w:rPr>
        <w:t>Cada línea requiere Centro de Costos, Tipo de Gasto/cuenta, Neto, IGV y Total. El sistema calcula totales y equivalente PEN, y avisa si Neto + IGV no coincide con Total. El backend valida las reglas OPEX, CAPEX y no deducibles.</w:t>
      </w:r>
    </w:p>
    <w:p>
      <w:pPr>
        <w:pStyle w:val="Heading2"/>
      </w:pPr>
      <w:r>
        <w:t>Paso 3 - Documentos</w:t>
      </w:r>
    </w:p>
    <w:p>
      <w:r>
        <w:rPr>
          <w:rFonts w:ascii="Calibri" w:hAnsi="Calibri" w:eastAsia="Calibri"/>
          <w:b w:val="0"/>
          <w:i w:val="0"/>
          <w:color w:val="17212B"/>
          <w:sz w:val="22"/>
        </w:rPr>
        <w:t>La pantalla explica los documentos exigidos. Bienes requiere al menos tres cotizaciones y comprobante; Servicios requiere factura, contrato y conformidad; Pago con Cotización y Reembolso con Sustento requieren XML y PDF; caja chica o rendición requiere sustentos.</w:t>
      </w:r>
    </w:p>
    <w:p>
      <w:r>
        <w:rPr>
          <w:rFonts w:ascii="Calibri" w:hAnsi="Calibri" w:eastAsia="Calibri"/>
          <w:b w:val="0"/>
          <w:i w:val="0"/>
          <w:color w:val="17212B"/>
          <w:sz w:val="22"/>
        </w:rPr>
        <w:t>Cuando el XML es obligatorio, el servidor compara RUC/DNI, comprobante, fecha, Neto, IGV y Total. Los importes fiscales del XML validado son la fuente autorizada. Una diferencia bloquea y registra el intento.</w:t>
      </w:r>
    </w:p>
    <w:p>
      <w:pPr>
        <w:pStyle w:val="Heading2"/>
      </w:pPr>
      <w:r>
        <w:t>Paso 4 - Revisar y enviar</w:t>
      </w:r>
    </w:p>
    <w:p>
      <w:r>
        <w:rPr>
          <w:rFonts w:ascii="Calibri" w:hAnsi="Calibri" w:eastAsia="Calibri"/>
          <w:b w:val="0"/>
          <w:i w:val="0"/>
          <w:color w:val="17212B"/>
          <w:sz w:val="22"/>
        </w:rPr>
        <w:t xml:space="preserve">Revise cabecera, proveedor, importes, líneas y archivos. Use </w:t>
      </w:r>
      <w:r>
        <w:rPr>
          <w:rFonts w:ascii="Calibri" w:hAnsi="Calibri" w:eastAsia="Calibri"/>
          <w:b/>
          <w:i w:val="0"/>
          <w:color w:val="17212B"/>
          <w:sz w:val="22"/>
        </w:rPr>
        <w:t>Guardar borrador</w:t>
      </w:r>
      <w:r>
        <w:rPr>
          <w:rFonts w:ascii="Calibri" w:hAnsi="Calibri" w:eastAsia="Calibri"/>
          <w:b w:val="0"/>
          <w:i w:val="0"/>
          <w:color w:val="17212B"/>
          <w:sz w:val="22"/>
        </w:rPr>
        <w:t xml:space="preserve"> para continuar después o </w:t>
      </w:r>
      <w:r>
        <w:rPr>
          <w:rFonts w:ascii="Calibri" w:hAnsi="Calibri" w:eastAsia="Calibri"/>
          <w:b/>
          <w:i w:val="0"/>
          <w:color w:val="17212B"/>
          <w:sz w:val="22"/>
        </w:rPr>
        <w:t>Enviar solicitud</w:t>
      </w:r>
      <w:r>
        <w:rPr>
          <w:rFonts w:ascii="Calibri" w:hAnsi="Calibri" w:eastAsia="Calibri"/>
          <w:b w:val="0"/>
          <w:i w:val="0"/>
          <w:color w:val="17212B"/>
          <w:sz w:val="22"/>
        </w:rPr>
        <w:t xml:space="preserve"> cuando esté completa. Volver a un paso anterior no elimina los datos.</w:t>
      </w:r>
    </w:p>
    <w:p>
      <w:r>
        <w:rPr>
          <w:rFonts w:ascii="Calibri" w:hAnsi="Calibri" w:eastAsia="Calibri"/>
          <w:b w:val="0"/>
          <w:i w:val="0"/>
          <w:color w:val="17212B"/>
          <w:sz w:val="22"/>
        </w:rPr>
        <w:t xml:space="preserve">En el menú de tres puntos: </w:t>
      </w:r>
      <w:r>
        <w:rPr>
          <w:rFonts w:ascii="Calibri" w:hAnsi="Calibri" w:eastAsia="Calibri"/>
          <w:b/>
          <w:i w:val="0"/>
          <w:color w:val="17212B"/>
          <w:sz w:val="22"/>
        </w:rPr>
        <w:t>Vista rápida</w:t>
      </w:r>
      <w:r>
        <w:rPr>
          <w:rFonts w:ascii="Calibri" w:hAnsi="Calibri" w:eastAsia="Calibri"/>
          <w:b w:val="0"/>
          <w:i w:val="0"/>
          <w:color w:val="17212B"/>
          <w:sz w:val="22"/>
        </w:rPr>
        <w:t xml:space="preserve"> abre el panel lateral; </w:t>
      </w:r>
      <w:r>
        <w:rPr>
          <w:rFonts w:ascii="Calibri" w:hAnsi="Calibri" w:eastAsia="Calibri"/>
          <w:b/>
          <w:i w:val="0"/>
          <w:color w:val="17212B"/>
          <w:sz w:val="22"/>
        </w:rPr>
        <w:t>Ver detalle</w:t>
      </w:r>
      <w:r>
        <w:rPr>
          <w:rFonts w:ascii="Calibri" w:hAnsi="Calibri" w:eastAsia="Calibri"/>
          <w:b w:val="0"/>
          <w:i w:val="0"/>
          <w:color w:val="17212B"/>
          <w:sz w:val="22"/>
        </w:rPr>
        <w:t xml:space="preserve"> abre el expediente; </w:t>
      </w:r>
      <w:r>
        <w:rPr>
          <w:rFonts w:ascii="Calibri" w:hAnsi="Calibri" w:eastAsia="Calibri"/>
          <w:b/>
          <w:i w:val="0"/>
          <w:color w:val="17212B"/>
          <w:sz w:val="22"/>
        </w:rPr>
        <w:t>Editar</w:t>
      </w:r>
      <w:r>
        <w:rPr>
          <w:rFonts w:ascii="Calibri" w:hAnsi="Calibri" w:eastAsia="Calibri"/>
          <w:b w:val="0"/>
          <w:i w:val="0"/>
          <w:color w:val="17212B"/>
          <w:sz w:val="22"/>
        </w:rPr>
        <w:t xml:space="preserve"> aparece para el propietario en Borrador, Rechazado, Devuelto u Observado; </w:t>
      </w:r>
      <w:r>
        <w:rPr>
          <w:rFonts w:ascii="Calibri" w:hAnsi="Calibri" w:eastAsia="Calibri"/>
          <w:b/>
          <w:i w:val="0"/>
          <w:color w:val="17212B"/>
          <w:sz w:val="22"/>
        </w:rPr>
        <w:t>Eliminar/desactivar</w:t>
      </w:r>
      <w:r>
        <w:rPr>
          <w:rFonts w:ascii="Calibri" w:hAnsi="Calibri" w:eastAsia="Calibri"/>
          <w:b w:val="0"/>
          <w:i w:val="0"/>
          <w:color w:val="17212B"/>
          <w:sz w:val="22"/>
        </w:rPr>
        <w:t xml:space="preserve"> pide confirmación y respeta la regla del backend.</w:t>
      </w:r>
    </w:p>
    <w:p>
      <w:pPr>
        <w:pStyle w:val="Heading1"/>
      </w:pPr>
      <w:r>
        <w:t>6. Detalle de solicitud</w:t>
      </w:r>
    </w:p>
    <w:p>
      <w:r>
        <w:rPr>
          <w:rFonts w:ascii="Calibri" w:hAnsi="Calibri" w:eastAsia="Calibri"/>
          <w:b w:val="0"/>
          <w:i w:val="0"/>
          <w:color w:val="17212B"/>
          <w:sz w:val="22"/>
        </w:rPr>
        <w:t>Muestra cabecera, solicitante, proveedor, importes, tipo de cambio, período, flujo, líneas, archivos protegidos, validación XML, homologación, aprobaciones/SLA, compromiso, comprobante, CXP, asientos, orden de compra, lote bancario, pago, rendición, conciliación y auditoría. Las acciones dependen del rol y estado; un botón deshabilitado explica la razón.</w:t>
      </w:r>
    </w:p>
    <w:p>
      <w:pPr>
        <w:pStyle w:val="Heading1"/>
      </w:pPr>
      <w:r>
        <w:t>7. Proveedores y homologación</w:t>
      </w:r>
    </w:p>
    <w:p>
      <w:r>
        <w:rPr>
          <w:rFonts w:ascii="Calibri" w:hAnsi="Calibri" w:eastAsia="Calibri"/>
          <w:b w:val="0"/>
          <w:i w:val="0"/>
          <w:color w:val="17212B"/>
          <w:sz w:val="22"/>
        </w:rPr>
        <w:t>El Solicitante puede proponer; Contabilidad/Admin homologa. Registre tipo y número RUC/DNI, razón social, dirección, representante, contacto, tipo, moneda y banco. RUC/DNI duplicado se bloquea; cuenta/CCI reutilizada genera advertencia.</w:t>
      </w:r>
    </w:p>
    <w:p>
      <w:r>
        <w:rPr>
          <w:rFonts w:ascii="Calibri" w:hAnsi="Calibri" w:eastAsia="Calibri"/>
          <w:b w:val="0"/>
          <w:i w:val="0"/>
          <w:color w:val="17212B"/>
          <w:sz w:val="22"/>
        </w:rPr>
        <w:t xml:space="preserve">El proveedor inicia en </w:t>
      </w:r>
      <w:r>
        <w:rPr>
          <w:rFonts w:ascii="Calibri" w:hAnsi="Calibri" w:eastAsia="Calibri"/>
          <w:b/>
          <w:i w:val="0"/>
          <w:color w:val="17212B"/>
          <w:sz w:val="22"/>
        </w:rPr>
        <w:t>PENDING_VALIDATION</w:t>
      </w:r>
      <w:r>
        <w:rPr>
          <w:rFonts w:ascii="Calibri" w:hAnsi="Calibri" w:eastAsia="Calibri"/>
          <w:b w:val="0"/>
          <w:i w:val="0"/>
          <w:color w:val="17212B"/>
          <w:sz w:val="22"/>
        </w:rPr>
        <w:t>. Cargue ficha RUC, certificado bancario e identificación del representante. Contabilidad/Admin puede Homologar, Observar o Inactivar con comentarios.</w:t>
      </w:r>
    </w:p>
    <w:p>
      <w:r>
        <w:rPr>
          <w:rFonts w:ascii="Calibri" w:hAnsi="Calibri" w:eastAsia="Calibri"/>
          <w:b w:val="0"/>
          <w:i w:val="0"/>
          <w:color w:val="17212B"/>
          <w:sz w:val="22"/>
        </w:rPr>
        <w:t>Cambiar el banco no borra el anterior: se cierra su vigencia y se crea una nueva cuenta activa. Tesorería guarda la cuenta seleccionada dentro del lote de pago.</w:t>
      </w:r>
    </w:p>
    <w:p>
      <w:pPr>
        <w:pStyle w:val="Heading1"/>
      </w:pPr>
      <w:r>
        <w:t>8. Aprobaciones y SLA</w:t>
      </w:r>
    </w:p>
    <w:p>
      <w:r>
        <w:rPr>
          <w:rFonts w:ascii="Calibri" w:hAnsi="Calibri" w:eastAsia="Calibri"/>
          <w:b w:val="0"/>
          <w:i w:val="0"/>
          <w:color w:val="17212B"/>
          <w:sz w:val="22"/>
        </w:rPr>
        <w:t xml:space="preserve">En </w:t>
      </w:r>
      <w:r>
        <w:rPr>
          <w:rFonts w:ascii="Calibri" w:hAnsi="Calibri" w:eastAsia="Calibri"/>
          <w:b/>
          <w:i w:val="0"/>
          <w:color w:val="17212B"/>
          <w:sz w:val="22"/>
        </w:rPr>
        <w:t>Bandeja de aprobaciones</w:t>
      </w:r>
      <w:r>
        <w:rPr>
          <w:rFonts w:ascii="Calibri" w:hAnsi="Calibri" w:eastAsia="Calibri"/>
          <w:b w:val="0"/>
          <w:i w:val="0"/>
          <w:color w:val="17212B"/>
          <w:sz w:val="22"/>
        </w:rPr>
        <w:t>, revise monto, proveedor, nivel, antigüedad, vencimiento y severidad SLA.</w:t>
      </w:r>
    </w:p>
    <w:p>
      <w:pPr>
        <w:numPr>
          <w:ilvl w:val="0"/>
          <w:numId w:val="10"/>
        </w:numPr>
        <w:spacing w:after="80" w:line="300" w:lineRule="auto"/>
        <w:ind w:left="540" w:hanging="271"/>
      </w:pPr>
      <w:r>
        <w:rPr>
          <w:rFonts w:ascii="Calibri" w:hAnsi="Calibri" w:eastAsia="Calibri"/>
          <w:b/>
          <w:i w:val="0"/>
          <w:color w:val="17212B"/>
          <w:sz w:val="21"/>
        </w:rPr>
        <w:t>Aprobar:</w:t>
      </w:r>
      <w:r>
        <w:rPr>
          <w:rFonts w:ascii="Calibri" w:hAnsi="Calibri" w:eastAsia="Calibri"/>
          <w:b w:val="0"/>
          <w:i w:val="0"/>
          <w:color w:val="17212B"/>
          <w:sz w:val="21"/>
        </w:rPr>
        <w:t xml:space="preserve"> firma electrónicamente y pasa al siguiente nivel.</w:t>
      </w:r>
    </w:p>
    <w:p>
      <w:pPr>
        <w:numPr>
          <w:ilvl w:val="0"/>
          <w:numId w:val="10"/>
        </w:numPr>
        <w:spacing w:after="80" w:line="300" w:lineRule="auto"/>
        <w:ind w:left="540" w:hanging="271"/>
      </w:pPr>
      <w:r>
        <w:rPr>
          <w:rFonts w:ascii="Calibri" w:hAnsi="Calibri" w:eastAsia="Calibri"/>
          <w:b/>
          <w:i w:val="0"/>
          <w:color w:val="17212B"/>
          <w:sz w:val="21"/>
        </w:rPr>
        <w:t>Observar:</w:t>
      </w:r>
      <w:r>
        <w:rPr>
          <w:rFonts w:ascii="Calibri" w:hAnsi="Calibri" w:eastAsia="Calibri"/>
          <w:b w:val="0"/>
          <w:i w:val="0"/>
          <w:color w:val="17212B"/>
          <w:sz w:val="21"/>
        </w:rPr>
        <w:t xml:space="preserve"> solicita aclaración; exige comentario.</w:t>
      </w:r>
    </w:p>
    <w:p>
      <w:pPr>
        <w:numPr>
          <w:ilvl w:val="0"/>
          <w:numId w:val="10"/>
        </w:numPr>
        <w:spacing w:after="80" w:line="300" w:lineRule="auto"/>
        <w:ind w:left="540" w:hanging="271"/>
      </w:pPr>
      <w:r>
        <w:rPr>
          <w:rFonts w:ascii="Calibri" w:hAnsi="Calibri" w:eastAsia="Calibri"/>
          <w:b/>
          <w:i w:val="0"/>
          <w:color w:val="17212B"/>
          <w:sz w:val="21"/>
        </w:rPr>
        <w:t>Devolver:</w:t>
      </w:r>
      <w:r>
        <w:rPr>
          <w:rFonts w:ascii="Calibri" w:hAnsi="Calibri" w:eastAsia="Calibri"/>
          <w:b w:val="0"/>
          <w:i w:val="0"/>
          <w:color w:val="17212B"/>
          <w:sz w:val="21"/>
        </w:rPr>
        <w:t xml:space="preserve"> retorna al Solicitante; exige comentario.</w:t>
      </w:r>
    </w:p>
    <w:p>
      <w:pPr>
        <w:numPr>
          <w:ilvl w:val="0"/>
          <w:numId w:val="10"/>
        </w:numPr>
        <w:spacing w:after="80" w:line="300" w:lineRule="auto"/>
        <w:ind w:left="540" w:hanging="271"/>
      </w:pPr>
      <w:r>
        <w:rPr>
          <w:rFonts w:ascii="Calibri" w:hAnsi="Calibri" w:eastAsia="Calibri"/>
          <w:b/>
          <w:i w:val="0"/>
          <w:color w:val="17212B"/>
          <w:sz w:val="21"/>
        </w:rPr>
        <w:t>Rechazar:</w:t>
      </w:r>
      <w:r>
        <w:rPr>
          <w:rFonts w:ascii="Calibri" w:hAnsi="Calibri" w:eastAsia="Calibri"/>
          <w:b w:val="0"/>
          <w:i w:val="0"/>
          <w:color w:val="17212B"/>
          <w:sz w:val="21"/>
        </w:rPr>
        <w:t xml:space="preserve"> detiene el flujo según política; exige comentario.</w:t>
      </w:r>
    </w:p>
    <w:p>
      <w:r>
        <w:rPr>
          <w:rFonts w:ascii="Calibri" w:hAnsi="Calibri" w:eastAsia="Calibri"/>
          <w:b w:val="0"/>
          <w:i w:val="0"/>
          <w:color w:val="17212B"/>
          <w:sz w:val="22"/>
        </w:rPr>
        <w:t>El Solicitante no puede aprobar su propia solicitud. Una excepción de Admin exige motivo y queda auditada. La firma es una aprobación electrónica autenticada interna, no una firma digital legal certificada.</w:t>
      </w:r>
    </w:p>
    <w:p>
      <w:pPr>
        <w:pStyle w:val="Heading1"/>
      </w:pPr>
      <w:r>
        <w:t>9. Control Presupuestal</w:t>
      </w:r>
    </w:p>
    <w:p>
      <w:r>
        <w:rPr>
          <w:rFonts w:ascii="Calibri" w:hAnsi="Calibri" w:eastAsia="Calibri"/>
          <w:b w:val="0"/>
          <w:i w:val="0"/>
          <w:color w:val="17212B"/>
          <w:sz w:val="22"/>
        </w:rPr>
        <w:t xml:space="preserve">Seleccione período y </w:t>
      </w:r>
      <w:r>
        <w:rPr>
          <w:rFonts w:ascii="Calibri" w:hAnsi="Calibri" w:eastAsia="Calibri"/>
          <w:b/>
          <w:i w:val="0"/>
          <w:color w:val="17212B"/>
          <w:sz w:val="22"/>
        </w:rPr>
        <w:t>Aplicar</w:t>
      </w:r>
      <w:r>
        <w:rPr>
          <w:rFonts w:ascii="Calibri" w:hAnsi="Calibri" w:eastAsia="Calibri"/>
          <w:b w:val="0"/>
          <w:i w:val="0"/>
          <w:color w:val="17212B"/>
          <w:sz w:val="22"/>
        </w:rPr>
        <w:t>. Los indicadores Asignado, Comprometido, Ejecutado, Pagado y Disponible usan el mismo servicio transaccional del flujo.</w:t>
      </w:r>
    </w:p>
    <w:p>
      <w:r>
        <w:rPr>
          <w:rFonts w:ascii="Calibri" w:hAnsi="Calibri" w:eastAsia="Calibri"/>
          <w:b w:val="0"/>
          <w:i w:val="0"/>
          <w:color w:val="17212B"/>
          <w:sz w:val="22"/>
        </w:rPr>
        <w:t>Las tablas muestran presupuesto dimensional, excepciones y compromisos. En modo ACTIVE no se permite sobreejecución silenciosa. La regla puede rechazar, solicitar incremento o aprobación extraordinaria. Si se anula antes de ejecutar, la reserva se libera una sola vez y queda auditada.</w:t>
      </w:r>
    </w:p>
    <w:p>
      <w:pPr>
        <w:pStyle w:val="Heading1"/>
      </w:pPr>
      <w:r>
        <w:t>10. Contabilidad y Cuentas por Pagar</w:t>
      </w:r>
    </w:p>
    <w:p>
      <w:r>
        <w:rPr>
          <w:rFonts w:ascii="Calibri" w:hAnsi="Calibri" w:eastAsia="Calibri"/>
          <w:b w:val="0"/>
          <w:i w:val="0"/>
          <w:color w:val="17212B"/>
          <w:sz w:val="22"/>
        </w:rPr>
        <w:t xml:space="preserve">Contabilidad recibe solicitudes aprobadas, documentadas, dimensionadas y de período abierto. En </w:t>
      </w:r>
      <w:r>
        <w:rPr>
          <w:rFonts w:ascii="Calibri" w:hAnsi="Calibri" w:eastAsia="Calibri"/>
          <w:b/>
          <w:i w:val="0"/>
          <w:color w:val="17212B"/>
          <w:sz w:val="22"/>
        </w:rPr>
        <w:t>Asientos Contables</w:t>
      </w:r>
      <w:r>
        <w:rPr>
          <w:rFonts w:ascii="Calibri" w:hAnsi="Calibri" w:eastAsia="Calibri"/>
          <w:b w:val="0"/>
          <w:i w:val="0"/>
          <w:color w:val="17212B"/>
          <w:sz w:val="22"/>
        </w:rPr>
        <w:t>, ingrese tipo de comprobante, serie, número, fechas, período y comentario. El backend bloquea duplicados por proveedor + tipo + serie + número.</w:t>
      </w:r>
    </w:p>
    <w:p>
      <w:r>
        <w:rPr>
          <w:rFonts w:ascii="Calibri" w:hAnsi="Calibri" w:eastAsia="Calibri"/>
          <w:b w:val="0"/>
          <w:i w:val="0"/>
          <w:color w:val="17212B"/>
          <w:sz w:val="22"/>
        </w:rPr>
        <w:t xml:space="preserve">El procesamiento crea una CXP explícita y un asiento de provisión balanceado. Debe y Haber deben coincidir. En </w:t>
      </w:r>
      <w:r>
        <w:rPr>
          <w:rFonts w:ascii="Calibri" w:hAnsi="Calibri" w:eastAsia="Calibri"/>
          <w:b/>
          <w:i w:val="0"/>
          <w:color w:val="17212B"/>
          <w:sz w:val="22"/>
        </w:rPr>
        <w:t>Cuentas por Pagar</w:t>
      </w:r>
      <w:r>
        <w:rPr>
          <w:rFonts w:ascii="Calibri" w:hAnsi="Calibri" w:eastAsia="Calibri"/>
          <w:b w:val="0"/>
          <w:i w:val="0"/>
          <w:color w:val="17212B"/>
          <w:sz w:val="22"/>
        </w:rPr>
        <w:t xml:space="preserve"> revise saldo, comprobante, estado, provisión, lote y asiento de pago.</w:t>
      </w:r>
    </w:p>
    <w:p>
      <w:r>
        <w:rPr>
          <w:rFonts w:ascii="Calibri" w:hAnsi="Calibri" w:eastAsia="Calibri"/>
          <w:b w:val="0"/>
          <w:i w:val="0"/>
          <w:color w:val="17212B"/>
          <w:sz w:val="22"/>
        </w:rPr>
        <w:t xml:space="preserve">En </w:t>
      </w:r>
      <w:r>
        <w:rPr>
          <w:rFonts w:ascii="Calibri" w:hAnsi="Calibri" w:eastAsia="Calibri"/>
          <w:b/>
          <w:i w:val="0"/>
          <w:color w:val="17212B"/>
          <w:sz w:val="22"/>
        </w:rPr>
        <w:t>Períodos Contables</w:t>
      </w:r>
      <w:r>
        <w:rPr>
          <w:rFonts w:ascii="Calibri" w:hAnsi="Calibri" w:eastAsia="Calibri"/>
          <w:b w:val="0"/>
          <w:i w:val="0"/>
          <w:color w:val="17212B"/>
          <w:sz w:val="22"/>
        </w:rPr>
        <w:t>, abrir, cerrar o reabrir exige confirmación. Un período cerrado bloquea las operaciones financieras aplicables en el backend y registra cada intento bloqueado.</w:t>
      </w:r>
    </w:p>
    <w:p>
      <w:pPr>
        <w:pStyle w:val="Heading1"/>
      </w:pPr>
      <w:r>
        <w:t>11. Tesorería</w:t>
      </w:r>
    </w:p>
    <w:p>
      <w:r>
        <w:rPr>
          <w:rFonts w:ascii="Calibri" w:hAnsi="Calibri" w:eastAsia="Calibri"/>
          <w:b w:val="0"/>
          <w:i w:val="0"/>
          <w:color w:val="17212B"/>
          <w:sz w:val="22"/>
        </w:rPr>
        <w:t>En la cola, filtre y seleccione pagos. Una fila sin cuenta bancaria activa no puede seleccionarse. Revise cantidad y totales por moneda.</w:t>
      </w:r>
    </w:p>
    <w:p>
      <w:r>
        <w:rPr>
          <w:rFonts w:ascii="Calibri" w:hAnsi="Calibri" w:eastAsia="Calibri"/>
          <w:b w:val="0"/>
          <w:i w:val="0"/>
          <w:color w:val="17212B"/>
          <w:sz w:val="22"/>
        </w:rPr>
        <w:t xml:space="preserve">Al generar TXT, confirme banco, moneda, fecha, ítems, cuentas y total. El lote conserva snapshots y checksum. Los formatos actuales de BCP, BBVA, Interbank y Scotiabank son </w:t>
      </w:r>
      <w:r>
        <w:rPr>
          <w:rFonts w:ascii="Calibri" w:hAnsi="Calibri" w:eastAsia="Calibri"/>
          <w:b/>
          <w:i w:val="0"/>
          <w:color w:val="17212B"/>
          <w:sz w:val="22"/>
        </w:rPr>
        <w:t>DEMO / NO CERTIFICADOS</w:t>
      </w:r>
      <w:r>
        <w:rPr>
          <w:rFonts w:ascii="Calibri" w:hAnsi="Calibri" w:eastAsia="Calibri"/>
          <w:b w:val="0"/>
          <w:i w:val="0"/>
          <w:color w:val="17212B"/>
          <w:sz w:val="22"/>
        </w:rPr>
        <w:t>.</w:t>
      </w:r>
    </w:p>
    <w:p>
      <w:r>
        <w:rPr>
          <w:rFonts w:ascii="Calibri" w:hAnsi="Calibri" w:eastAsia="Calibri"/>
          <w:b w:val="0"/>
          <w:i w:val="0"/>
          <w:color w:val="17212B"/>
          <w:sz w:val="22"/>
        </w:rPr>
        <w:t xml:space="preserve">Después de la ejecución real del banco, use </w:t>
      </w:r>
      <w:r>
        <w:rPr>
          <w:rFonts w:ascii="Calibri" w:hAnsi="Calibri" w:eastAsia="Calibri"/>
          <w:b/>
          <w:i w:val="0"/>
          <w:color w:val="17212B"/>
          <w:sz w:val="22"/>
        </w:rPr>
        <w:t>Confirmar pago</w:t>
      </w:r>
      <w:r>
        <w:rPr>
          <w:rFonts w:ascii="Calibri" w:hAnsi="Calibri" w:eastAsia="Calibri"/>
          <w:b w:val="0"/>
          <w:i w:val="0"/>
          <w:color w:val="17212B"/>
          <w:sz w:val="22"/>
        </w:rPr>
        <w:t xml:space="preserve"> e ingrese número de operación, fecha, importe y comentarios. Solo entonces la CXP queda pagada, se crea el asiento, se actualiza presupuesto y la solicitud pasa a </w:t>
      </w:r>
      <w:r>
        <w:rPr>
          <w:rFonts w:ascii="Consolas" w:hAnsi="Consolas" w:eastAsia="Consolas"/>
          <w:b w:val="0"/>
          <w:i w:val="0"/>
          <w:color w:val="173B57"/>
          <w:sz w:val="21"/>
          <w:shd w:fill="E8EEF5" w:val="clear"/>
        </w:rPr>
        <w:t>PAGADO</w:t>
      </w:r>
      <w:r>
        <w:rPr>
          <w:rFonts w:ascii="Calibri" w:hAnsi="Calibri" w:eastAsia="Calibri"/>
          <w:b w:val="0"/>
          <w:i w:val="0"/>
          <w:color w:val="17212B"/>
          <w:sz w:val="22"/>
        </w:rPr>
        <w:t>.</w:t>
      </w:r>
    </w:p>
    <w:p>
      <w:r>
        <w:rPr>
          <w:rFonts w:ascii="Calibri" w:hAnsi="Calibri" w:eastAsia="Calibri"/>
          <w:b w:val="0"/>
          <w:i w:val="0"/>
          <w:color w:val="17212B"/>
          <w:sz w:val="22"/>
        </w:rPr>
        <w:t xml:space="preserve">Luego use </w:t>
      </w:r>
      <w:r>
        <w:rPr>
          <w:rFonts w:ascii="Calibri" w:hAnsi="Calibri" w:eastAsia="Calibri"/>
          <w:b/>
          <w:i w:val="0"/>
          <w:color w:val="17212B"/>
          <w:sz w:val="22"/>
        </w:rPr>
        <w:t>Conciliar pago</w:t>
      </w:r>
      <w:r>
        <w:rPr>
          <w:rFonts w:ascii="Calibri" w:hAnsi="Calibri" w:eastAsia="Calibri"/>
          <w:b w:val="0"/>
          <w:i w:val="0"/>
          <w:color w:val="17212B"/>
          <w:sz w:val="22"/>
        </w:rPr>
        <w:t xml:space="preserve"> con referencia bancaria, diferencia y comentario. La solicitud pasa a </w:t>
      </w:r>
      <w:r>
        <w:rPr>
          <w:rFonts w:ascii="Consolas" w:hAnsi="Consolas" w:eastAsia="Consolas"/>
          <w:b w:val="0"/>
          <w:i w:val="0"/>
          <w:color w:val="173B57"/>
          <w:sz w:val="21"/>
          <w:shd w:fill="E8EEF5" w:val="clear"/>
        </w:rPr>
        <w:t>CONCILIADO</w:t>
      </w:r>
      <w:r>
        <w:rPr>
          <w:rFonts w:ascii="Calibri" w:hAnsi="Calibri" w:eastAsia="Calibri"/>
          <w:b w:val="0"/>
          <w:i w:val="0"/>
          <w:color w:val="17212B"/>
          <w:sz w:val="22"/>
        </w:rPr>
        <w:t xml:space="preserve"> y después puede cerrarse como </w:t>
      </w:r>
      <w:r>
        <w:rPr>
          <w:rFonts w:ascii="Consolas" w:hAnsi="Consolas" w:eastAsia="Consolas"/>
          <w:b w:val="0"/>
          <w:i w:val="0"/>
          <w:color w:val="173B57"/>
          <w:sz w:val="21"/>
          <w:shd w:fill="E8EEF5" w:val="clear"/>
        </w:rPr>
        <w:t>CERRADO</w:t>
      </w:r>
      <w:r>
        <w:rPr>
          <w:rFonts w:ascii="Calibri" w:hAnsi="Calibri" w:eastAsia="Calibri"/>
          <w:b w:val="0"/>
          <w:i w:val="0"/>
          <w:color w:val="17212B"/>
          <w:sz w:val="22"/>
        </w:rPr>
        <w:t>.</w:t>
      </w:r>
    </w:p>
    <w:p>
      <w:pPr>
        <w:pStyle w:val="Heading1"/>
      </w:pPr>
      <w:r>
        <w:t>12. Flujos especiales</w:t>
      </w:r>
    </w:p>
    <w:p>
      <w:pPr>
        <w:numPr>
          <w:ilvl w:val="0"/>
          <w:numId w:val="10"/>
        </w:numPr>
        <w:spacing w:after="80" w:line="300" w:lineRule="auto"/>
        <w:ind w:left="540" w:hanging="271"/>
      </w:pPr>
      <w:r>
        <w:rPr>
          <w:rFonts w:ascii="Calibri" w:hAnsi="Calibri" w:eastAsia="Calibri"/>
          <w:b/>
          <w:i w:val="0"/>
          <w:color w:val="17212B"/>
          <w:sz w:val="21"/>
        </w:rPr>
        <w:t>Entrega a Rendir:</w:t>
      </w:r>
      <w:r>
        <w:rPr>
          <w:rFonts w:ascii="Calibri" w:hAnsi="Calibri" w:eastAsia="Calibri"/>
          <w:b w:val="0"/>
          <w:i w:val="0"/>
          <w:color w:val="17212B"/>
          <w:sz w:val="21"/>
        </w:rPr>
        <w:t xml:space="preserve"> el desembolso inicial usa la cuenta 14 configurada, no gasto. Tras el pago queda </w:t>
      </w:r>
      <w:r>
        <w:rPr>
          <w:rFonts w:ascii="Consolas" w:hAnsi="Consolas" w:eastAsia="Consolas"/>
          <w:b w:val="0"/>
          <w:i w:val="0"/>
          <w:color w:val="173B57"/>
          <w:sz w:val="20"/>
          <w:shd w:fill="E8EEF5" w:val="clear"/>
        </w:rPr>
        <w:t>RENDICION_PENDIENTE</w:t>
      </w:r>
      <w:r>
        <w:rPr>
          <w:rFonts w:ascii="Calibri" w:hAnsi="Calibri" w:eastAsia="Calibri"/>
          <w:b w:val="0"/>
          <w:i w:val="0"/>
          <w:color w:val="17212B"/>
          <w:sz w:val="21"/>
        </w:rPr>
        <w:t>. El Solicitante carga evidencia e importes; Contabilidad valida, reconoce el gasto real y limpia o reduce la cuenta 14. No se puede cerrar con saldo o documentos pendientes.</w:t>
      </w:r>
    </w:p>
    <w:p>
      <w:pPr>
        <w:numPr>
          <w:ilvl w:val="0"/>
          <w:numId w:val="10"/>
        </w:numPr>
        <w:spacing w:after="80" w:line="300" w:lineRule="auto"/>
        <w:ind w:left="540" w:hanging="271"/>
      </w:pPr>
      <w:r>
        <w:rPr>
          <w:rFonts w:ascii="Calibri" w:hAnsi="Calibri" w:eastAsia="Calibri"/>
          <w:b/>
          <w:i w:val="0"/>
          <w:color w:val="17212B"/>
          <w:sz w:val="21"/>
        </w:rPr>
        <w:t>Reembolso sin Sustento:</w:t>
      </w:r>
      <w:r>
        <w:rPr>
          <w:rFonts w:ascii="Calibri" w:hAnsi="Calibri" w:eastAsia="Calibri"/>
          <w:b w:val="0"/>
          <w:i w:val="0"/>
          <w:color w:val="17212B"/>
          <w:sz w:val="21"/>
        </w:rPr>
        <w:t xml:space="preserve"> usa la cuenta no deducible configurada.</w:t>
      </w:r>
    </w:p>
    <w:p>
      <w:pPr>
        <w:numPr>
          <w:ilvl w:val="0"/>
          <w:numId w:val="10"/>
        </w:numPr>
        <w:spacing w:after="80" w:line="300" w:lineRule="auto"/>
        <w:ind w:left="540" w:hanging="271"/>
      </w:pPr>
      <w:r>
        <w:rPr>
          <w:rFonts w:ascii="Calibri" w:hAnsi="Calibri" w:eastAsia="Calibri"/>
          <w:b/>
          <w:i w:val="0"/>
          <w:color w:val="17212B"/>
          <w:sz w:val="21"/>
        </w:rPr>
        <w:t>Pago con Cotización:</w:t>
      </w:r>
      <w:r>
        <w:rPr>
          <w:rFonts w:ascii="Calibri" w:hAnsi="Calibri" w:eastAsia="Calibri"/>
          <w:b w:val="0"/>
          <w:i w:val="0"/>
          <w:color w:val="17212B"/>
          <w:sz w:val="21"/>
        </w:rPr>
        <w:t xml:space="preserve"> puede crear una orden interna </w:t>
      </w:r>
      <w:r>
        <w:rPr>
          <w:rFonts w:ascii="Consolas" w:hAnsi="Consolas" w:eastAsia="Consolas"/>
          <w:b w:val="0"/>
          <w:i w:val="0"/>
          <w:color w:val="173B57"/>
          <w:sz w:val="20"/>
          <w:shd w:fill="E8EEF5" w:val="clear"/>
        </w:rPr>
        <w:t>OC-YYYY-XXXXX</w:t>
      </w:r>
      <w:r>
        <w:rPr>
          <w:rFonts w:ascii="Calibri" w:hAnsi="Calibri" w:eastAsia="Calibri"/>
          <w:b w:val="0"/>
          <w:i w:val="0"/>
          <w:color w:val="17212B"/>
          <w:sz w:val="21"/>
        </w:rPr>
        <w:t xml:space="preserve"> después de aprobar; mantiene las reglas XML/PDF.</w:t>
      </w:r>
    </w:p>
    <w:p>
      <w:pPr>
        <w:pStyle w:val="Heading1"/>
      </w:pPr>
      <w:r>
        <w:t>13. Reportes, SIRE y auditoría</w:t>
      </w:r>
    </w:p>
    <w:p>
      <w:r>
        <w:rPr>
          <w:rFonts w:ascii="Calibri" w:hAnsi="Calibri" w:eastAsia="Calibri"/>
          <w:b/>
          <w:i w:val="0"/>
          <w:color w:val="17212B"/>
          <w:sz w:val="22"/>
        </w:rPr>
        <w:t>Reportes Gerenciales</w:t>
      </w:r>
      <w:r>
        <w:rPr>
          <w:rFonts w:ascii="Calibri" w:hAnsi="Calibri" w:eastAsia="Calibri"/>
          <w:b w:val="0"/>
          <w:i w:val="0"/>
          <w:color w:val="17212B"/>
          <w:sz w:val="22"/>
        </w:rPr>
        <w:t xml:space="preserve"> usa datos transaccionales y filtros. </w:t>
      </w:r>
      <w:r>
        <w:rPr>
          <w:rFonts w:ascii="Calibri" w:hAnsi="Calibri" w:eastAsia="Calibri"/>
          <w:b/>
          <w:i w:val="0"/>
          <w:color w:val="17212B"/>
          <w:sz w:val="22"/>
        </w:rPr>
        <w:t>Consolidación mensual</w:t>
      </w:r>
      <w:r>
        <w:rPr>
          <w:rFonts w:ascii="Calibri" w:hAnsi="Calibri" w:eastAsia="Calibri"/>
          <w:b w:val="0"/>
          <w:i w:val="0"/>
          <w:color w:val="17212B"/>
          <w:sz w:val="22"/>
        </w:rPr>
        <w:t xml:space="preserve"> agrupa por Centro de Costos/cuenta y exige diferencia cero. </w:t>
      </w:r>
      <w:r>
        <w:rPr>
          <w:rFonts w:ascii="Calibri" w:hAnsi="Calibri" w:eastAsia="Calibri"/>
          <w:b/>
          <w:i w:val="0"/>
          <w:color w:val="17212B"/>
          <w:sz w:val="22"/>
        </w:rPr>
        <w:t>SIRE/RCE</w:t>
      </w:r>
      <w:r>
        <w:rPr>
          <w:rFonts w:ascii="Calibri" w:hAnsi="Calibri" w:eastAsia="Calibri"/>
          <w:b w:val="0"/>
          <w:i w:val="0"/>
          <w:color w:val="17212B"/>
          <w:sz w:val="22"/>
        </w:rPr>
        <w:t xml:space="preserve"> prepara y exporta CSV con advertencias e historial; no envía directamente a SUNAT. </w:t>
      </w:r>
      <w:r>
        <w:rPr>
          <w:rFonts w:ascii="Calibri" w:hAnsi="Calibri" w:eastAsia="Calibri"/>
          <w:b/>
          <w:i w:val="0"/>
          <w:color w:val="17212B"/>
          <w:sz w:val="22"/>
        </w:rPr>
        <w:t>Visor de auditoría</w:t>
      </w:r>
      <w:r>
        <w:rPr>
          <w:rFonts w:ascii="Calibri" w:hAnsi="Calibri" w:eastAsia="Calibri"/>
          <w:b w:val="0"/>
          <w:i w:val="0"/>
          <w:color w:val="17212B"/>
          <w:sz w:val="22"/>
        </w:rPr>
        <w:t xml:space="preserve"> es de solo lectura; las rutas normales no modifican ni eliminan eventos.</w:t>
      </w:r>
    </w:p>
    <w:p>
      <w:pPr>
        <w:pStyle w:val="Heading1"/>
      </w:pPr>
      <w:r>
        <w:t>14. Uso seguro</w:t>
      </w:r>
    </w:p>
    <w:p>
      <w:pPr>
        <w:numPr>
          <w:ilvl w:val="0"/>
          <w:numId w:val="10"/>
        </w:numPr>
        <w:spacing w:after="80" w:line="300" w:lineRule="auto"/>
        <w:ind w:left="540" w:hanging="271"/>
      </w:pPr>
      <w:r>
        <w:rPr>
          <w:rFonts w:ascii="Calibri" w:hAnsi="Calibri" w:eastAsia="Calibri"/>
          <w:b w:val="0"/>
          <w:i w:val="0"/>
          <w:color w:val="17212B"/>
          <w:sz w:val="21"/>
        </w:rPr>
        <w:t>Cierre sesión y no comparta cuentas.</w:t>
      </w:r>
    </w:p>
    <w:p>
      <w:pPr>
        <w:numPr>
          <w:ilvl w:val="0"/>
          <w:numId w:val="10"/>
        </w:numPr>
        <w:spacing w:after="80" w:line="300" w:lineRule="auto"/>
        <w:ind w:left="540" w:hanging="271"/>
      </w:pPr>
      <w:r>
        <w:rPr>
          <w:rFonts w:ascii="Calibri" w:hAnsi="Calibri" w:eastAsia="Calibri"/>
          <w:b w:val="0"/>
          <w:i w:val="0"/>
          <w:color w:val="17212B"/>
          <w:sz w:val="21"/>
        </w:rPr>
        <w:t>Lea el resultado exacto en cada confirmación.</w:t>
      </w:r>
    </w:p>
    <w:p>
      <w:pPr>
        <w:numPr>
          <w:ilvl w:val="0"/>
          <w:numId w:val="10"/>
        </w:numPr>
        <w:spacing w:after="80" w:line="300" w:lineRule="auto"/>
        <w:ind w:left="540" w:hanging="271"/>
      </w:pPr>
      <w:r>
        <w:rPr>
          <w:rFonts w:ascii="Calibri" w:hAnsi="Calibri" w:eastAsia="Calibri"/>
          <w:b w:val="0"/>
          <w:i w:val="0"/>
          <w:color w:val="17212B"/>
          <w:sz w:val="21"/>
        </w:rPr>
        <w:t>Escriba comentarios que expliquen la decisión.</w:t>
      </w:r>
    </w:p>
    <w:p>
      <w:pPr>
        <w:numPr>
          <w:ilvl w:val="0"/>
          <w:numId w:val="10"/>
        </w:numPr>
        <w:spacing w:after="80" w:line="300" w:lineRule="auto"/>
        <w:ind w:left="540" w:hanging="271"/>
      </w:pPr>
      <w:r>
        <w:rPr>
          <w:rFonts w:ascii="Calibri" w:hAnsi="Calibri" w:eastAsia="Calibri"/>
          <w:b w:val="0"/>
          <w:i w:val="0"/>
          <w:color w:val="17212B"/>
          <w:sz w:val="21"/>
        </w:rPr>
        <w:t>Nunca use un TXT descargado como prueba de pago.</w:t>
      </w:r>
    </w:p>
    <w:p>
      <w:pPr>
        <w:numPr>
          <w:ilvl w:val="0"/>
          <w:numId w:val="10"/>
        </w:numPr>
        <w:spacing w:after="80" w:line="300" w:lineRule="auto"/>
        <w:ind w:left="540" w:hanging="271"/>
      </w:pPr>
      <w:r>
        <w:rPr>
          <w:rFonts w:ascii="Calibri" w:hAnsi="Calibri" w:eastAsia="Calibri"/>
          <w:b w:val="0"/>
          <w:i w:val="0"/>
          <w:color w:val="17212B"/>
          <w:sz w:val="21"/>
        </w:rPr>
        <w:t>No cambie la historia para reflejar nuevos datos maestros.</w:t>
      </w:r>
    </w:p>
    <w:p>
      <w:pPr>
        <w:numPr>
          <w:ilvl w:val="0"/>
          <w:numId w:val="10"/>
        </w:numPr>
        <w:spacing w:after="80" w:line="300" w:lineRule="auto"/>
        <w:ind w:left="540" w:hanging="271"/>
      </w:pPr>
      <w:r>
        <w:rPr>
          <w:rFonts w:ascii="Calibri" w:hAnsi="Calibri" w:eastAsia="Calibri"/>
          <w:b w:val="0"/>
          <w:i w:val="0"/>
          <w:color w:val="17212B"/>
          <w:sz w:val="21"/>
        </w:rPr>
        <w:t xml:space="preserve">Respalde MongoDB, </w:t>
      </w:r>
      <w:r>
        <w:rPr>
          <w:rFonts w:ascii="Consolas" w:hAnsi="Consolas" w:eastAsia="Consolas"/>
          <w:b w:val="0"/>
          <w:i w:val="0"/>
          <w:color w:val="173B57"/>
          <w:sz w:val="20"/>
          <w:shd w:fill="E8EEF5" w:val="clear"/>
        </w:rPr>
        <w:t>uploads</w:t>
      </w:r>
      <w:r>
        <w:rPr>
          <w:rFonts w:ascii="Calibri" w:hAnsi="Calibri" w:eastAsia="Calibri"/>
          <w:b w:val="0"/>
          <w:i w:val="0"/>
          <w:color w:val="17212B"/>
          <w:sz w:val="21"/>
        </w:rPr>
        <w:t xml:space="preserve"> y </w:t>
      </w:r>
      <w:r>
        <w:rPr>
          <w:rFonts w:ascii="Consolas" w:hAnsi="Consolas" w:eastAsia="Consolas"/>
          <w:b w:val="0"/>
          <w:i w:val="0"/>
          <w:color w:val="173B57"/>
          <w:sz w:val="20"/>
          <w:shd w:fill="E8EEF5" w:val="clear"/>
        </w:rPr>
        <w:t>generated</w:t>
      </w:r>
      <w:r>
        <w:rPr>
          <w:rFonts w:ascii="Calibri" w:hAnsi="Calibri" w:eastAsia="Calibri"/>
          <w:b w:val="0"/>
          <w:i w:val="0"/>
          <w:color w:val="17212B"/>
          <w:sz w:val="21"/>
        </w:rPr>
        <w:t xml:space="preserve"> juntos.</w:t>
      </w:r>
    </w:p>
    <w:p>
      <w:pPr>
        <w:numPr>
          <w:ilvl w:val="0"/>
          <w:numId w:val="10"/>
        </w:numPr>
        <w:spacing w:after="80" w:line="300" w:lineRule="auto"/>
        <w:ind w:left="540" w:hanging="271"/>
      </w:pPr>
      <w:r>
        <w:rPr>
          <w:rFonts w:ascii="Calibri" w:hAnsi="Calibri" w:eastAsia="Calibri"/>
          <w:b w:val="0"/>
          <w:i w:val="0"/>
          <w:color w:val="17212B"/>
          <w:sz w:val="21"/>
        </w:rPr>
        <w:t xml:space="preserve">Informe al administrador códigos como </w:t>
      </w:r>
      <w:r>
        <w:rPr>
          <w:rFonts w:ascii="Consolas" w:hAnsi="Consolas" w:eastAsia="Consolas"/>
          <w:b w:val="0"/>
          <w:i w:val="0"/>
          <w:color w:val="173B57"/>
          <w:sz w:val="20"/>
          <w:shd w:fill="E8EEF5" w:val="clear"/>
        </w:rPr>
        <w:t>ACCOUNTING_PERIOD_CLOSED</w:t>
      </w:r>
      <w:r>
        <w:rPr>
          <w:rFonts w:ascii="Calibri" w:hAnsi="Calibri" w:eastAsia="Calibri"/>
          <w:b w:val="0"/>
          <w:i w:val="0"/>
          <w:color w:val="17212B"/>
          <w:sz w:val="21"/>
        </w:rPr>
        <w:t xml:space="preserve">, </w:t>
      </w:r>
      <w:r>
        <w:rPr>
          <w:rFonts w:ascii="Consolas" w:hAnsi="Consolas" w:eastAsia="Consolas"/>
          <w:b w:val="0"/>
          <w:i w:val="0"/>
          <w:color w:val="173B57"/>
          <w:sz w:val="20"/>
          <w:shd w:fill="E8EEF5" w:val="clear"/>
        </w:rPr>
        <w:t>DUPLICATE_VOUCHER</w:t>
      </w:r>
      <w:r>
        <w:rPr>
          <w:rFonts w:ascii="Calibri" w:hAnsi="Calibri" w:eastAsia="Calibri"/>
          <w:b w:val="0"/>
          <w:i w:val="0"/>
          <w:color w:val="17212B"/>
          <w:sz w:val="21"/>
        </w:rPr>
        <w:t xml:space="preserve"> o </w:t>
      </w:r>
      <w:r>
        <w:rPr>
          <w:rFonts w:ascii="Consolas" w:hAnsi="Consolas" w:eastAsia="Consolas"/>
          <w:b w:val="0"/>
          <w:i w:val="0"/>
          <w:color w:val="173B57"/>
          <w:sz w:val="20"/>
          <w:shd w:fill="E8EEF5" w:val="clear"/>
        </w:rPr>
        <w:t>BANK_DETAILS_MISSING</w:t>
      </w:r>
      <w:r>
        <w:rPr>
          <w:rFonts w:ascii="Calibri" w:hAnsi="Calibri" w:eastAsia="Calibri"/>
          <w:b w:val="0"/>
          <w:i w:val="0"/>
          <w:color w:val="17212B"/>
          <w:sz w:val="21"/>
        </w:rPr>
        <w:t>.</w:t>
      </w:r>
    </w:p>
    <w:p>
      <w:pPr>
        <w:pStyle w:val="Heading1"/>
      </w:pPr>
      <w:r>
        <w:t>Límites externos / External Limits</w:t>
      </w:r>
    </w:p>
    <w:p>
      <w:pPr>
        <w:spacing w:before="80" w:after="180"/>
        <w:ind w:left="115" w:right="115"/>
        <w:shd w:fill="FFF5D9" w:val="clear"/>
        <w:pBdr>
          <w:left w:val="single" w:sz="20" w:space="8" w:color="8A5A00"/>
        </w:pBdr>
      </w:pPr>
      <w:r>
        <w:rPr>
          <w:rFonts w:ascii="Calibri" w:hAnsi="Calibri" w:eastAsia="Calibri"/>
          <w:b w:val="0"/>
          <w:i w:val="0"/>
          <w:color w:val="17212B"/>
          <w:sz w:val="22"/>
        </w:rPr>
        <w:t>SUNAT de producción, envío directo SIRE, formatos bancarios certificados y firma digital legal certificada requieren especificaciones y credenciales reales de UMA y los proveedores. El sistema implementa adaptadores, modo manual/desarrollo y avisos claros; no declara una certificación inexistente.</w:t>
      </w:r>
    </w:p>
    <w:p>
      <w:r>
        <w:br w:type="page"/>
      </w:r>
    </w:p>
    <w:p>
      <w:pPr>
        <w:pStyle w:val="Heading1"/>
      </w:pPr>
      <w:r>
        <w:t>Technical Architecture and Backup / Arquitectura Técnica y Respaldo</w:t>
      </w:r>
    </w:p>
    <w:p>
      <w:r>
        <w:rPr>
          <w:rFonts w:ascii="Calibri" w:hAnsi="Calibri" w:eastAsia="Calibri"/>
          <w:b w:val="0"/>
          <w:i w:val="0"/>
          <w:color w:val="17212B"/>
          <w:sz w:val="22"/>
        </w:rPr>
        <w:t>The browser application is React + Vite. The protected API is Node.js + Express, with MongoDB for business records and local directories for request/supplier uploads, bank files, accounting exports, and reports. JWT, bcrypt, backend RBAC, Helmet, an explicit CORS allow-list, login rate limiting, upload validation, safe generated names, and sanitized errors protect the normal application paths.</w:t>
      </w:r>
    </w:p>
    <w:p>
      <w:r>
        <w:rPr>
          <w:rFonts w:ascii="Calibri" w:hAnsi="Calibri" w:eastAsia="Calibri"/>
          <w:b w:val="0"/>
          <w:i w:val="0"/>
          <w:color w:val="17212B"/>
          <w:sz w:val="22"/>
        </w:rPr>
        <w:t xml:space="preserve">A usable backup is a matched snapshot of </w:t>
      </w:r>
      <w:r>
        <w:rPr>
          <w:rFonts w:ascii="Calibri" w:hAnsi="Calibri" w:eastAsia="Calibri"/>
          <w:b/>
          <w:i w:val="0"/>
          <w:color w:val="17212B"/>
          <w:sz w:val="22"/>
        </w:rPr>
        <w:t>both</w:t>
      </w:r>
      <w:r>
        <w:rPr>
          <w:rFonts w:ascii="Calibri" w:hAnsi="Calibri" w:eastAsia="Calibri"/>
          <w:b w:val="0"/>
          <w:i w:val="0"/>
          <w:color w:val="17212B"/>
          <w:sz w:val="22"/>
        </w:rPr>
        <w:t xml:space="preserve"> MongoDB and local storage. Back up </w:t>
      </w:r>
      <w:r>
        <w:rPr>
          <w:rFonts w:ascii="Consolas" w:hAnsi="Consolas" w:eastAsia="Consolas"/>
          <w:b w:val="0"/>
          <w:i w:val="0"/>
          <w:color w:val="173B57"/>
          <w:sz w:val="21"/>
          <w:shd w:fill="E8EEF5" w:val="clear"/>
        </w:rPr>
        <w:t>backend/uploads</w:t>
      </w:r>
      <w:r>
        <w:rPr>
          <w:rFonts w:ascii="Calibri" w:hAnsi="Calibri" w:eastAsia="Calibri"/>
          <w:b w:val="0"/>
          <w:i w:val="0"/>
          <w:color w:val="17212B"/>
          <w:sz w:val="22"/>
        </w:rPr>
        <w:t xml:space="preserve"> and </w:t>
      </w:r>
      <w:r>
        <w:rPr>
          <w:rFonts w:ascii="Consolas" w:hAnsi="Consolas" w:eastAsia="Consolas"/>
          <w:b w:val="0"/>
          <w:i w:val="0"/>
          <w:color w:val="173B57"/>
          <w:sz w:val="21"/>
          <w:shd w:fill="E8EEF5" w:val="clear"/>
        </w:rPr>
        <w:t>backend/generated</w:t>
      </w:r>
      <w:r>
        <w:rPr>
          <w:rFonts w:ascii="Calibri" w:hAnsi="Calibri" w:eastAsia="Calibri"/>
          <w:b w:val="0"/>
          <w:i w:val="0"/>
          <w:color w:val="17212B"/>
          <w:sz w:val="22"/>
        </w:rPr>
        <w:t xml:space="preserve"> together with the database, keep the files outside the working copy, and test restoration periodically. Run schema/status migrations in dry-run mode first; ambiguous historical records remain in the migration report for manual review.</w:t>
      </w:r>
    </w:p>
    <w:p>
      <w:r>
        <w:rPr>
          <w:rFonts w:ascii="Calibri" w:hAnsi="Calibri" w:eastAsia="Calibri"/>
          <w:b w:val="0"/>
          <w:i w:val="0"/>
          <w:color w:val="17212B"/>
          <w:sz w:val="22"/>
        </w:rPr>
        <w:t>La aplicación web usa React + Vite. La API protegida usa Node.js + Express, MongoDB conserva los registros y los directorios locales guardan archivos de solicitudes/proveedores, TXT bancarios y exportaciones contables/reportes. JWT, bcrypt, RBAC en backend, Helmet, lista CORS, limitación de intentos, validación de cargas, nombres físicos seguros y errores saneados protegen las rutas normales.</w:t>
      </w:r>
    </w:p>
    <w:p>
      <w:r>
        <w:rPr>
          <w:rFonts w:ascii="Calibri" w:hAnsi="Calibri" w:eastAsia="Calibri"/>
          <w:b w:val="0"/>
          <w:i w:val="0"/>
          <w:color w:val="17212B"/>
          <w:sz w:val="22"/>
        </w:rPr>
        <w:t xml:space="preserve">Un respaldo válido debe contener una copia coordinada de </w:t>
      </w:r>
      <w:r>
        <w:rPr>
          <w:rFonts w:ascii="Calibri" w:hAnsi="Calibri" w:eastAsia="Calibri"/>
          <w:b/>
          <w:i w:val="0"/>
          <w:color w:val="17212B"/>
          <w:sz w:val="22"/>
        </w:rPr>
        <w:t>MongoDB y del almacenamiento local</w:t>
      </w:r>
      <w:r>
        <w:rPr>
          <w:rFonts w:ascii="Calibri" w:hAnsi="Calibri" w:eastAsia="Calibri"/>
          <w:b w:val="0"/>
          <w:i w:val="0"/>
          <w:color w:val="17212B"/>
          <w:sz w:val="22"/>
        </w:rPr>
        <w:t xml:space="preserve">. Respalde </w:t>
      </w:r>
      <w:r>
        <w:rPr>
          <w:rFonts w:ascii="Consolas" w:hAnsi="Consolas" w:eastAsia="Consolas"/>
          <w:b w:val="0"/>
          <w:i w:val="0"/>
          <w:color w:val="173B57"/>
          <w:sz w:val="21"/>
          <w:shd w:fill="E8EEF5" w:val="clear"/>
        </w:rPr>
        <w:t>backend/uploads</w:t>
      </w:r>
      <w:r>
        <w:rPr>
          <w:rFonts w:ascii="Calibri" w:hAnsi="Calibri" w:eastAsia="Calibri"/>
          <w:b w:val="0"/>
          <w:i w:val="0"/>
          <w:color w:val="17212B"/>
          <w:sz w:val="22"/>
        </w:rPr>
        <w:t xml:space="preserve"> y </w:t>
      </w:r>
      <w:r>
        <w:rPr>
          <w:rFonts w:ascii="Consolas" w:hAnsi="Consolas" w:eastAsia="Consolas"/>
          <w:b w:val="0"/>
          <w:i w:val="0"/>
          <w:color w:val="173B57"/>
          <w:sz w:val="21"/>
          <w:shd w:fill="E8EEF5" w:val="clear"/>
        </w:rPr>
        <w:t>backend/generated</w:t>
      </w:r>
      <w:r>
        <w:rPr>
          <w:rFonts w:ascii="Calibri" w:hAnsi="Calibri" w:eastAsia="Calibri"/>
          <w:b w:val="0"/>
          <w:i w:val="0"/>
          <w:color w:val="17212B"/>
          <w:sz w:val="22"/>
        </w:rPr>
        <w:t xml:space="preserve"> junto con la base de datos, conserve la copia fuera del proyecto y pruebe su restauración. Ejecute primero las migraciones en modo dry-run; los registros históricos ambiguos quedan en el reporte para revisión manual.</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Bdr>
        <w:bottom w:val="single" w:sz="6" w:space="4" w:color="DCE3E7"/>
      </w:pBdr>
    </w:pPr>
    <w:r>
      <w:rPr>
        <w:rFonts w:ascii="Calibri" w:hAnsi="Calibri" w:eastAsia="Calibri"/>
        <w:b w:val="0"/>
        <w:i w:val="0"/>
        <w:color w:val="5D6A75"/>
        <w:sz w:val="16"/>
      </w:rPr>
      <w:t xml:space="preserve">Internal operational guide  |  Page </w:t>
    </w:r>
    <w:r>
      <w:rPr>
        <w:rFonts w:ascii="Calibri" w:hAnsi="Calibri" w:eastAsia="Calibri"/>
        <w:b w:val="0"/>
        <w:i w:val="0"/>
        <w:color w:val="5D6A75"/>
        <w:sz w:val="17"/>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Bdr>
        <w:bottom w:val="single" w:sz="6" w:space="4" w:color="DCE3E7"/>
      </w:pBdr>
    </w:pPr>
    <w:r>
      <w:rPr>
        <w:rFonts w:ascii="Calibri" w:hAnsi="Calibri" w:eastAsia="Calibri"/>
        <w:b w:val="0"/>
        <w:i w:val="0"/>
        <w:color w:val="5D6A75"/>
        <w:sz w:val="16"/>
      </w:rPr>
      <w:t xml:space="preserve">Internal operational guide  |  Page </w:t>
    </w:r>
    <w:r>
      <w:rPr>
        <w:rFonts w:ascii="Calibri" w:hAnsi="Calibri" w:eastAsia="Calibri"/>
        <w:b w:val="0"/>
        <w:i w:val="0"/>
        <w:color w:val="5D6A75"/>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6" w:space="4" w:color="DCE3E7"/>
      </w:pBdr>
    </w:pPr>
    <w:r>
      <w:rPr>
        <w:rFonts w:ascii="Calibri" w:hAnsi="Calibri" w:eastAsia="Calibri"/>
        <w:b/>
        <w:i w:val="0"/>
        <w:color w:val="0B2239"/>
        <w:sz w:val="17"/>
      </w:rPr>
      <w:t>UMA  |  INTEGRATED CAPEX / OPEX / CXP</w:t>
    </w:r>
    <w:r>
      <w:rPr>
        <w:rFonts w:ascii="Calibri" w:hAnsi="Calibri" w:eastAsia="Calibri"/>
        <w:b/>
        <w:i w:val="0"/>
        <w:color w:val="5D6A75"/>
        <w:sz w:val="17"/>
      </w:rPr>
      <w:t xml:space="preserve">    USER &amp; OPERATIONS MANUAL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6" w:space="4" w:color="DCE3E7"/>
      </w:pBdr>
    </w:pPr>
    <w:r>
      <w:rPr>
        <w:rFonts w:ascii="Calibri" w:hAnsi="Calibri" w:eastAsia="Calibri"/>
        <w:b/>
        <w:i w:val="0"/>
        <w:color w:val="0B2239"/>
        <w:sz w:val="17"/>
      </w:rPr>
      <w:t>UMA  |  INTEGRATED CAPEX / OPEX / CXP</w:t>
    </w:r>
    <w:r>
      <w:rPr>
        <w:rFonts w:ascii="Calibri" w:hAnsi="Calibri" w:eastAsia="Calibri"/>
        <w:b/>
        <w:i w:val="0"/>
        <w:color w:val="5D6A75"/>
        <w:sz w:val="17"/>
      </w:rPr>
      <w:t xml:space="preserve">    USER &amp; OPERATIONS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pPr>
        <w:tabs>
          <w:tab w:val="num" w:pos="540"/>
        </w:tabs>
        <w:ind w:left="540" w:hanging="270"/>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0B2239"/>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0B7F7A"/>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73B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239"/>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line="240" w:lineRule="auto"/>
    </w:pPr>
    <w:rPr>
      <w:rFonts w:asciiTheme="majorHAnsi" w:eastAsiaTheme="majorEastAsia" w:hAnsiTheme="majorHAnsi" w:cstheme="majorBidi" w:ascii="Calibri" w:hAnsi="Calibri"/>
      <w:b w:val="0"/>
      <w:i/>
      <w:iCs/>
      <w:color w:val="5D6A7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60"/>
    </w:pPr>
    <w:rPr>
      <w:rFonts w:ascii="Calibri" w:hAnsi="Calibri"/>
      <w:b/>
      <w:bCs/>
      <w:i/>
      <w:color w:val="5D6A7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UMA Integrated CAPEX / OPEX / Accounts Payable Management System</dc:title>
  <dc:subject>Bilingual user and operations manual</dc:subject>
  <dc:creator>UMA Financial Operations</dc:creator>
  <cp:keywords>UMA, CAPEX, OPEX, accounts payable, ERP, user manual, English, Spanish</cp:keywords>
  <dc:description>Generated from the implemented system documentation after verification.</dc:description>
  <cp:lastModifiedBy/>
  <cp:revision>1</cp:revision>
  <dcterms:created xsi:type="dcterms:W3CDTF">2013-12-23T23:15:00Z</dcterms:created>
  <dcterms:modified xsi:type="dcterms:W3CDTF">2013-12-23T23:15:00Z</dcterms:modified>
  <cp:category/>
</cp:coreProperties>
</file>