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jc w:val="center"/>
      </w:pPr>
      <w:r>
        <w:rPr>
          <w:rFonts w:ascii="Calibri" w:cs="Calibri" w:eastAsia="Calibri" w:hAnsi="Calibri"/>
          <w:b w:val="false"/>
          <w:bCs w:val="false"/>
          <w:color w:val="1A237E"/>
          <w:sz w:val="20"/>
          <w:szCs w:val="20"/>
        </w:rPr>
        <w:t xml:space="preserve"/>
      </w:r>
    </w:p>
    <w:p>
      <w:pPr>
        <w:spacing w:after="80"/>
        <w:jc w:val="center"/>
      </w:pPr>
      <w:r>
        <w:rPr>
          <w:rFonts w:ascii="Calibri" w:cs="Calibri" w:eastAsia="Calibri" w:hAnsi="Calibri"/>
          <w:b/>
          <w:bCs/>
          <w:color w:val="3949AB"/>
          <w:sz w:val="24"/>
          <w:szCs w:val="24"/>
        </w:rPr>
        <w:t xml:space="preserve">INTERNATIONAL JOURNAL OF EMERGING COMPUTING TECHNOLOGIES</w:t>
      </w:r>
    </w:p>
    <w:p>
      <w:pPr>
        <w:spacing w:after="120"/>
        <w:jc w:val="center"/>
      </w:pPr>
      <w:r>
        <w:rPr>
          <w:rFonts w:ascii="Calibri" w:cs="Calibri" w:eastAsia="Calibri" w:hAnsi="Calibri"/>
          <w:b w:val="false"/>
          <w:bCs w:val="false"/>
          <w:color w:val="546E7A"/>
          <w:sz w:val="20"/>
          <w:szCs w:val="20"/>
        </w:rPr>
        <w:t xml:space="preserve">Vol. 7, No. 2 | July 2026  |  ISSN (Online): 2997-4821</w:t>
      </w:r>
    </w:p>
    <w:p>
      <w:pPr>
        <w:pBdr>
          <w:bottom w:val="single" w:color="B0BEC5" w:sz="8" w:space="1"/>
        </w:pBdr>
        <w:spacing w:after="120" w:before="120" w:line="276" w:lineRule="auto"/>
      </w:pPr>
    </w:p>
    <w:p>
      <w:pPr>
        <w:spacing w:after="80"/>
      </w:pPr>
    </w:p>
    <w:p>
      <w:pPr>
        <w:spacing w:after="80"/>
      </w:pPr>
    </w:p>
    <w:p>
      <w:pPr>
        <w:spacing w:after="200"/>
        <w:jc w:val="center"/>
      </w:pPr>
      <w:r>
        <w:rPr>
          <w:rFonts w:ascii="Calibri" w:cs="Calibri" w:eastAsia="Calibri" w:hAnsi="Calibri"/>
          <w:b/>
          <w:bCs/>
          <w:color w:val="1A237E"/>
          <w:sz w:val="36"/>
          <w:szCs w:val="36"/>
        </w:rPr>
        <w:t xml:space="preserve">Beyond Classical Limits: The Integration of Quantum Technologies
into Contemporary Digital Infrastructure and the Road to a
Fault-Tolerant Quantum Future</w:t>
      </w:r>
    </w:p>
    <w:p>
      <w:pPr>
        <w:spacing w:after="80"/>
      </w:pPr>
    </w:p>
    <w:p>
      <w:pPr>
        <w:pBdr>
          <w:bottom w:val="single" w:color="B0BEC5" w:sz="8" w:space="1"/>
        </w:pBdr>
        <w:spacing w:after="120" w:before="120" w:line="276" w:lineRule="auto"/>
      </w:pPr>
    </w:p>
    <w:p>
      <w:pPr>
        <w:spacing w:after="80"/>
      </w:pPr>
    </w:p>
    <w:p>
      <w:pPr>
        <w:spacing w:after="80" w:before="0" w:line="276" w:lineRule="auto"/>
        <w:jc w:val="center"/>
      </w:pPr>
      <w:r>
        <w:rPr>
          <w:rFonts w:ascii="Calibri" w:cs="Calibri" w:eastAsia="Calibri" w:hAnsi="Calibri"/>
          <w:b/>
          <w:bCs/>
          <w:color w:val="283593"/>
          <w:sz w:val="26"/>
          <w:szCs w:val="26"/>
        </w:rPr>
        <w:t xml:space="preserve">Darshan Hudeda</w:t>
      </w:r>
    </w:p>
    <w:p>
      <w:pPr>
        <w:spacing w:after="80" w:before="0" w:line="276" w:lineRule="auto"/>
        <w:jc w:val="center"/>
      </w:pPr>
      <w:r>
        <w:rPr>
          <w:rFonts w:ascii="Times New Roman" w:cs="Times New Roman" w:eastAsia="Times New Roman" w:hAnsi="Times New Roman"/>
          <w:color w:val="455A64"/>
          <w:sz w:val="22"/>
          <w:szCs w:val="22"/>
        </w:rPr>
        <w:t xml:space="preserve">Department of Cybersecurity &amp; Computing Sciences</w:t>
      </w:r>
    </w:p>
    <w:p>
      <w:pPr>
        <w:spacing w:after="80" w:before="0" w:line="276" w:lineRule="auto"/>
        <w:jc w:val="center"/>
      </w:pPr>
      <w:r>
        <w:rPr>
          <w:rFonts w:ascii="Courier New" w:cs="Courier New" w:eastAsia="Courier New" w:hAnsi="Courier New"/>
          <w:color w:val="78909C"/>
          <w:sz w:val="20"/>
          <w:szCs w:val="20"/>
        </w:rPr>
        <w:t xml:space="preserve">GitHub: darshanhudeda  |  darshan@university.edu</w:t>
      </w:r>
    </w:p>
    <w:p>
      <w:pPr>
        <w:spacing w:after="80"/>
      </w:pPr>
    </w:p>
    <w:p>
      <w:pPr>
        <w:spacing w:after="80"/>
      </w:pPr>
    </w:p>
    <w:p>
      <w:pPr>
        <w:spacing w:after="80" w:before="0" w:line="276" w:lineRule="auto"/>
        <w:jc w:val="center"/>
      </w:pPr>
      <w:r>
        <w:rPr>
          <w:rFonts w:ascii="Times New Roman" w:cs="Times New Roman" w:eastAsia="Times New Roman" w:hAnsi="Times New Roman"/>
          <w:i/>
          <w:iCs/>
          <w:color w:val="607D8B"/>
          <w:sz w:val="20"/>
          <w:szCs w:val="20"/>
        </w:rPr>
        <w:t xml:space="preserve">Received: 02 June 2026   |   Revised: 28 June 2026   |   Accepted: 10 July 2026</w:t>
      </w:r>
    </w:p>
    <w:p>
      <w:pPr>
        <w:spacing w:after="80"/>
      </w:pPr>
    </w:p>
    <w:p>
      <w:pPr>
        <w:spacing w:after="80"/>
      </w:pPr>
    </w:p>
    <w:p>
      <w:pPr>
        <w:spacing w:after="80"/>
      </w:pPr>
    </w:p>
    <w:p>
      <w:pPr>
        <w:spacing w:after="80"/>
      </w:pPr>
    </w:p>
    <w:p>
      <w:pPr>
        <w:spacing w:after="80"/>
        <w:jc w:val="center"/>
      </w:pPr>
      <w:r>
        <w:rPr>
          <w:rFonts w:ascii="Times New Roman" w:cs="Times New Roman" w:eastAsia="Times New Roman" w:hAnsi="Times New Roman"/>
          <w:b/>
          <w:bCs/>
          <w:color w:val="3949AB"/>
          <w:sz w:val="20"/>
          <w:szCs w:val="20"/>
        </w:rPr>
        <w:t xml:space="preserve">Correspondence: </w:t>
      </w:r>
      <w:r>
        <w:rPr>
          <w:rFonts w:ascii="Times New Roman" w:cs="Times New Roman" w:eastAsia="Times New Roman" w:hAnsi="Times New Roman"/>
          <w:i/>
          <w:iCs/>
          <w:color w:val="546E7A"/>
          <w:sz w:val="20"/>
          <w:szCs w:val="20"/>
        </w:rPr>
        <w:t xml:space="preserve">darshan@university.edu</w:t>
      </w:r>
    </w:p>
    <w:p>
      <w:pPr>
        <w:spacing w:after="80"/>
      </w:pP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EEF2FF" w:val="clear"/>
            <w:tcMar>
              <w:top w:type="dxa" w:w="140"/>
              <w:left w:type="dxa" w:w="200"/>
              <w:bottom w:type="dxa" w:w="140"/>
              <w:right w:type="dxa" w:w="200"/>
            </w:tcMar>
          </w:tcPr>
          <w:p>
            <w:pPr>
              <w:spacing w:after="80"/>
              <w:jc w:val="left"/>
            </w:pPr>
            <w:r>
              <w:rPr>
                <w:rFonts w:ascii="Calibri" w:cs="Calibri" w:eastAsia="Calibri" w:hAnsi="Calibri"/>
                <w:b/>
                <w:bCs/>
                <w:color w:val="1A237E"/>
                <w:sz w:val="22"/>
                <w:szCs w:val="22"/>
              </w:rPr>
              <w:t xml:space="preserve">ABSTRACT</w:t>
            </w:r>
          </w:p>
          <w:p>
            <w:pPr>
              <w:spacing w:after="120"/>
              <w:jc w:val="both"/>
            </w:pPr>
            <w:r>
              <w:rPr>
                <w:rFonts w:ascii="Times New Roman" w:cs="Times New Roman" w:eastAsia="Times New Roman" w:hAnsi="Times New Roman"/>
                <w:i/>
                <w:iCs/>
                <w:color w:val="212121"/>
                <w:sz w:val="22"/>
                <w:szCs w:val="22"/>
              </w:rPr>
              <w:t xml:space="preserve">Quantum computing is transitioning from a theoretical paradigm into a demonstrably practical engineering discipline. This paper synthesises the foundational mechanics of quantum information processing—superposition, entanglement, and quantum interference—with an analysis of the current hardware landscape (2025–2026), including IBM's Nighthawk and Loon processors, Google's below-threshold Willow error-correction milestone, and Microsoft's Majorana 1 topological qubit chip. We examine the cross-domain applications of quantum systems in cybersecurity and post-quantum cryptography (PQC), pharmaceutical drug discovery, artificial intelligence, space exploration, and logistics optimisation. Particular attention is given to the cryptographic urgency posed by quantum algorithms such as Shor's algorithm and the consequent mandate of NIST's FIPS 203, FIPS 204, and FIPS 205 post-quantum standards (August 2024). We further analyse the hybrid classical–quantum computing model, which will define the near-term computational architecture, and evaluate quantum programming ecosystems including IBM's Qiskit and Microsoft's Q# language. The paper concludes that while fault-tolerant quantum computers remain a 2029–2033 horizon, quantum advantage on select optimisation and simulation tasks is achievable by end-2026, and immediate investment in PQC migration and quantum-literate engineering talent is an organisational imperative.</w:t>
            </w:r>
          </w:p>
        </w:tc>
      </w:tr>
    </w:tbl>
    <w:p>
      <w:pPr>
        <w:spacing w:after="80"/>
      </w:pPr>
    </w:p>
    <w:p>
      <w:pPr>
        <w:spacing w:after="100" w:before="0" w:line="276" w:lineRule="auto"/>
        <w:jc w:val="both"/>
      </w:pPr>
      <w:r>
        <w:rPr>
          <w:rFonts w:ascii="Times New Roman" w:cs="Times New Roman" w:eastAsia="Times New Roman" w:hAnsi="Times New Roman"/>
          <w:b/>
          <w:bCs/>
          <w:color w:val="1A237E"/>
          <w:sz w:val="24"/>
          <w:szCs w:val="24"/>
        </w:rPr>
        <w:t xml:space="preserve">Keywords:</w:t>
      </w:r>
      <w:r>
        <w:rPr>
          <w:rFonts w:ascii="Times New Roman" w:cs="Times New Roman" w:eastAsia="Times New Roman" w:hAnsi="Times New Roman"/>
          <w:color w:val="212121"/>
          <w:sz w:val="24"/>
          <w:szCs w:val="24"/>
        </w:rPr>
        <w:t xml:space="preserve"> quantum computing; qubits; post-quantum cryptography; fault-tolerant quantum computing; Noisy Intermediate-Scale Quantum (NISQ); quantum error correction; hybrid computing; Shor's algorithm; quantum machine learning; drug discovery</w:t>
      </w:r>
    </w:p>
    <w:p>
      <w:pPr>
        <w:pBdr>
          <w:bottom w:val="single" w:color="B0BEC5" w:sz="8" w:space="1"/>
        </w:pBdr>
        <w:spacing w:after="120" w:before="120" w:line="276" w:lineRule="auto"/>
      </w:pPr>
    </w:p>
    <w:p>
      <w:r>
        <w:br w:type="page"/>
      </w:r>
    </w:p>
    <w:p>
      <w:pPr>
        <w:pStyle w:val="Heading1"/>
        <w:spacing w:after="120" w:before="280" w:line="276" w:lineRule="auto"/>
        <w:rPr>
          <w:rFonts w:ascii="Calibri" w:cs="Calibri" w:eastAsia="Calibri" w:hAnsi="Calibri"/>
          <w:b/>
          <w:bCs/>
          <w:color w:val="1A237E"/>
        </w:rPr>
      </w:pPr>
      <w:r>
        <w:t xml:space="preserve">1. Introduction</w:t>
      </w:r>
    </w:p>
    <w:p>
      <w:pPr>
        <w:spacing w:after="120" w:before="0" w:line="276" w:lineRule="auto"/>
        <w:ind w:firstLine="720"/>
        <w:jc w:val="both"/>
      </w:pPr>
      <w:r>
        <w:rPr>
          <w:rFonts w:ascii="Times New Roman" w:cs="Times New Roman" w:eastAsia="Times New Roman" w:hAnsi="Times New Roman"/>
          <w:color w:val="212121"/>
          <w:sz w:val="24"/>
          <w:szCs w:val="24"/>
        </w:rPr>
        <w:t xml:space="preserve">For most of the twentieth century, computational progress was described by Moore's Law—the observation that transistor density on integrated circuits doubles approximately every two years. That doubling translated into exponential improvements in classical computing power, enabling the digital revolution that now underpins global commerce, communications, healthcare, and security. Yet the physical limits of silicon-based transistor miniaturisation are rapidly closing the window on this trajectory [1]. As classical architectures approach atomic-scale boundaries, the field of quantum computing offers a fundamentally different path: not faster execution of the same Boolean logic, but computation governed by the laws of quantum mechanics itself.</w:t>
      </w:r>
    </w:p>
    <w:p>
      <w:pPr>
        <w:spacing w:after="120" w:before="0" w:line="276" w:lineRule="auto"/>
        <w:ind w:firstLine="720"/>
        <w:jc w:val="both"/>
      </w:pPr>
      <w:r>
        <w:rPr>
          <w:rFonts w:ascii="Times New Roman" w:cs="Times New Roman" w:eastAsia="Times New Roman" w:hAnsi="Times New Roman"/>
          <w:color w:val="212121"/>
          <w:sz w:val="24"/>
          <w:szCs w:val="24"/>
        </w:rPr>
        <w:t xml:space="preserve">Quantum computing does not merely accelerate existing processes; it redefines which classes of problems are computationally tractable. By encoding information in quantum bits (qubits) that exploit superposition, entanglement, and interference, quantum processors can evaluate exponentially large solution spaces simultaneously—a capability with profound implications for cryptography, molecular simulation, optimisation, artificial intelligence, and space science [2].</w:t>
      </w:r>
    </w:p>
    <w:p>
      <w:pPr>
        <w:spacing w:after="120" w:before="0" w:line="276" w:lineRule="auto"/>
        <w:ind w:firstLine="720"/>
        <w:jc w:val="both"/>
      </w:pPr>
      <w:r>
        <w:rPr>
          <w:rFonts w:ascii="Times New Roman" w:cs="Times New Roman" w:eastAsia="Times New Roman" w:hAnsi="Times New Roman"/>
          <w:color w:val="212121"/>
          <w:sz w:val="24"/>
          <w:szCs w:val="24"/>
        </w:rPr>
        <w:t xml:space="preserve">The period from 2024 to 2026 has marked a critical inflection point. Google's Willow chip demonstrated below-threshold quantum error correction in December 2024—proving for the first time that adding more physical qubits to a surface code lattice can reduce, rather than amplify, the overall error rate [3]. IBM followed in November 2025 with the Nighthawk processor (120 qubits, 218 next-generation tunable couplers) and the experimental Loon chip, which validated all key architectural components of fault-tolerant quantum computing on a single chip [4]. Meanwhile, the National Institute of Standards and Technology (NIST) published the first three post-quantum cryptographic standards—FIPS 203, FIPS 204, and FIPS 205—in August 2024, signalling that the transition away from classical public-key encryption is no longer theoretical but regulatory [5].</w:t>
      </w:r>
    </w:p>
    <w:p>
      <w:pPr>
        <w:spacing w:after="120" w:before="0" w:line="276" w:lineRule="auto"/>
        <w:ind w:firstLine="720"/>
        <w:jc w:val="both"/>
      </w:pPr>
      <w:r>
        <w:rPr>
          <w:rFonts w:ascii="Times New Roman" w:cs="Times New Roman" w:eastAsia="Times New Roman" w:hAnsi="Times New Roman"/>
          <w:color w:val="212121"/>
          <w:sz w:val="24"/>
          <w:szCs w:val="24"/>
        </w:rPr>
        <w:t xml:space="preserve">This paper provides a comprehensive scholarly analysis of quantum computing as it exists today and as it is projected to evolve across the next decade. It is structured to serve both the technically initiated reader and the policy-oriented researcher, drawing on published hardware roadmaps, peer-reviewed quantum chemistry results, NIST standardisation documentation, and industry investment data.</w:t>
      </w:r>
    </w:p>
    <w:p>
      <w:pPr>
        <w:pStyle w:val="Heading1"/>
        <w:spacing w:after="120" w:before="280" w:line="276" w:lineRule="auto"/>
        <w:rPr>
          <w:rFonts w:ascii="Calibri" w:cs="Calibri" w:eastAsia="Calibri" w:hAnsi="Calibri"/>
          <w:b/>
          <w:bCs/>
          <w:color w:val="1A237E"/>
        </w:rPr>
      </w:pPr>
      <w:r>
        <w:t xml:space="preserve">2. Quantum Computing: Theoretical Foundations</w:t>
      </w:r>
    </w:p>
    <w:p>
      <w:pPr>
        <w:pStyle w:val="Heading2"/>
        <w:spacing w:after="80" w:before="200" w:line="276" w:lineRule="auto"/>
        <w:rPr>
          <w:rFonts w:ascii="Calibri" w:cs="Calibri" w:eastAsia="Calibri" w:hAnsi="Calibri"/>
          <w:color w:val="283593"/>
        </w:rPr>
      </w:pPr>
      <w:r>
        <w:t xml:space="preserve">2.1 Classical Versus Quantum Information</w:t>
      </w:r>
    </w:p>
    <w:p>
      <w:pPr>
        <w:spacing w:after="120" w:before="0" w:line="276" w:lineRule="auto"/>
        <w:ind w:firstLine="720"/>
        <w:jc w:val="both"/>
      </w:pPr>
      <w:r>
        <w:rPr>
          <w:rFonts w:ascii="Times New Roman" w:cs="Times New Roman" w:eastAsia="Times New Roman" w:hAnsi="Times New Roman"/>
          <w:color w:val="212121"/>
          <w:sz w:val="24"/>
          <w:szCs w:val="24"/>
        </w:rPr>
        <w:t xml:space="preserve">A classical bit is a binary entity—at any instant it occupies precisely one of two discrete states: 0 or 1. The entirety of classical computation reduces to sequences of Boolean operations on these deterministic states. A quantum bit, or qubit, is described instead by a quantum state vector in a two-dimensional complex Hilbert space. Prior to measurement, a qubit may exist in any linear superposition of the computational basis states |0⟩ and |1⟩, expressed as α|0⟩ + β|1⟩, where α and β are probability amplitudes whose squared magnitudes sum to unity [6]. This property—superposition—allows a system of n qubits to simultaneously encode 2ⁿ computational states, enabling a quantum processor to evaluate all states in parallel in a manner fundamentally unavailable to classical hardware.</w:t>
      </w:r>
    </w:p>
    <w:p>
      <w:pPr>
        <w:pStyle w:val="Heading2"/>
        <w:spacing w:after="80" w:before="200" w:line="276" w:lineRule="auto"/>
        <w:rPr>
          <w:rFonts w:ascii="Calibri" w:cs="Calibri" w:eastAsia="Calibri" w:hAnsi="Calibri"/>
          <w:color w:val="283593"/>
        </w:rPr>
      </w:pPr>
      <w:r>
        <w:t xml:space="preserve">2.2 The Three Pillars: Superposition, Entanglement, Interference</w:t>
      </w:r>
    </w:p>
    <w:p>
      <w:pPr>
        <w:spacing w:after="120" w:before="0" w:line="276" w:lineRule="auto"/>
        <w:ind w:firstLine="720"/>
        <w:jc w:val="both"/>
      </w:pPr>
      <w:r>
        <w:rPr>
          <w:rFonts w:ascii="Times New Roman" w:cs="Times New Roman" w:eastAsia="Times New Roman" w:hAnsi="Times New Roman"/>
          <w:color w:val="212121"/>
          <w:sz w:val="24"/>
          <w:szCs w:val="24"/>
        </w:rPr>
        <w:t xml:space="preserve">Superposition grants a single qubit the capacity to represent a continuous range of states. Entanglement extends this property across multiple qubits: when two or more qubits become entangled, the quantum state of the composite system cannot be expressed as a product of individual qubit states. Measurement of one entangled qubit instantaneously determines properties of its partner, regardless of spatial separation—a phenomenon Einstein famously termed "spooky action at a distance" but which is now exploited routinely in quantum algorithms and quantum key distribution protocols [7].</w:t>
      </w:r>
    </w:p>
    <w:p>
      <w:pPr>
        <w:spacing w:after="120" w:before="0" w:line="276" w:lineRule="auto"/>
        <w:ind w:firstLine="720"/>
        <w:jc w:val="both"/>
      </w:pPr>
      <w:r>
        <w:rPr>
          <w:rFonts w:ascii="Times New Roman" w:cs="Times New Roman" w:eastAsia="Times New Roman" w:hAnsi="Times New Roman"/>
          <w:color w:val="212121"/>
          <w:sz w:val="24"/>
          <w:szCs w:val="24"/>
        </w:rPr>
        <w:t xml:space="preserve">Quantum interference is the mechanism by which a quantum algorithm produces a useful output. Quantum gates manipulate the probability amplitudes of qubit states analogously to how wave amplitudes add or cancel. Algorithms are designed so that interference constructively reinforces the amplitudes of correct answers while destructively cancelling those of incorrect ones, "collapsing" the probability distribution toward the desired result upon measurement. Without carefully engineered interference, superposition alone would yield a random output with no computational advantage [8].</w:t>
      </w:r>
    </w:p>
    <w:p>
      <w:pPr>
        <w:pStyle w:val="Heading2"/>
        <w:spacing w:after="80" w:before="200" w:line="276" w:lineRule="auto"/>
        <w:rPr>
          <w:rFonts w:ascii="Calibri" w:cs="Calibri" w:eastAsia="Calibri" w:hAnsi="Calibri"/>
          <w:color w:val="283593"/>
        </w:rPr>
      </w:pPr>
      <w:r>
        <w:t xml:space="preserve">2.3 Quantum Gates and Circuit Model</w:t>
      </w:r>
    </w:p>
    <w:p>
      <w:pPr>
        <w:spacing w:after="120" w:before="0" w:line="276" w:lineRule="auto"/>
        <w:ind w:firstLine="720"/>
        <w:jc w:val="both"/>
      </w:pPr>
      <w:r>
        <w:rPr>
          <w:rFonts w:ascii="Times New Roman" w:cs="Times New Roman" w:eastAsia="Times New Roman" w:hAnsi="Times New Roman"/>
          <w:color w:val="212121"/>
          <w:sz w:val="24"/>
          <w:szCs w:val="24"/>
        </w:rPr>
        <w:t xml:space="preserve">Quantum computation is conventionally described using the circuit model. A quantum circuit consists of a sequence of unitary quantum gates applied to a register of qubits, followed by a measurement step. Single-qubit gates (Pauli-X, Hadamard, Phase) rotate qubit states on the Bloch sphere. Two-qubit gates (CNOT, CZ, iSWAP) generate entanglement between qubit pairs. The number of two-qubit gates executable before decoherence corrupts the computation—termed the circuit depth—is the primary metric by which the current generation of processors is evaluated [9]. IBM's Nighthawk processor achieved circuits with 5,000 two-qubit gates in 2025, with a roadmap extending to 15,000 gates by 2028 [4].</w:t>
      </w:r>
    </w:p>
    <w:p>
      <w:pPr>
        <w:pStyle w:val="Heading1"/>
        <w:spacing w:after="120" w:before="280" w:line="276" w:lineRule="auto"/>
        <w:rPr>
          <w:rFonts w:ascii="Calibri" w:cs="Calibri" w:eastAsia="Calibri" w:hAnsi="Calibri"/>
          <w:b/>
          <w:bCs/>
          <w:color w:val="1A237E"/>
        </w:rPr>
      </w:pPr>
      <w:r>
        <w:t xml:space="preserve">3. Current Hardware Landscape (2025–2026)</w:t>
      </w:r>
    </w:p>
    <w:p>
      <w:pPr>
        <w:pStyle w:val="Heading2"/>
        <w:spacing w:after="80" w:before="200" w:line="276" w:lineRule="auto"/>
        <w:rPr>
          <w:rFonts w:ascii="Calibri" w:cs="Calibri" w:eastAsia="Calibri" w:hAnsi="Calibri"/>
          <w:color w:val="283593"/>
        </w:rPr>
      </w:pPr>
      <w:r>
        <w:t xml:space="preserve">3.1 The NISQ Era and Its Constraints</w:t>
      </w:r>
    </w:p>
    <w:p>
      <w:pPr>
        <w:spacing w:after="120" w:before="0" w:line="276" w:lineRule="auto"/>
        <w:ind w:firstLine="720"/>
        <w:jc w:val="both"/>
      </w:pPr>
      <w:r>
        <w:rPr>
          <w:rFonts w:ascii="Times New Roman" w:cs="Times New Roman" w:eastAsia="Times New Roman" w:hAnsi="Times New Roman"/>
          <w:color w:val="212121"/>
          <w:sz w:val="24"/>
          <w:szCs w:val="24"/>
        </w:rPr>
        <w:t xml:space="preserve">The term Noisy Intermediate-Scale Quantum (NISQ) was coined by John Preskill of Caltech to describe the contemporary cohort of quantum processors: machines with tens to hundreds of qubits that are nevertheless too noisy for the deep error-corrected circuits needed to execute commercially transformative algorithms at full scale [10]. NISQ devices suffer from decoherence—the collapse of quantum states due to environmental perturbations such as thermal noise, electromagnetic radiation, and mechanical vibration. Current superconducting qubit systems require cooling to approximately 15 millikelvin, colder than the cosmic microwave background, using dilution refrigerators [11].</w:t>
      </w:r>
    </w:p>
    <w:p>
      <w:pPr>
        <w:spacing w:after="120" w:before="0" w:line="276" w:lineRule="auto"/>
        <w:ind w:firstLine="720"/>
        <w:jc w:val="both"/>
      </w:pPr>
      <w:r>
        <w:rPr>
          <w:rFonts w:ascii="Times New Roman" w:cs="Times New Roman" w:eastAsia="Times New Roman" w:hAnsi="Times New Roman"/>
          <w:color w:val="212121"/>
          <w:sz w:val="24"/>
          <w:szCs w:val="24"/>
        </w:rPr>
        <w:t xml:space="preserve">In the NISQ era, quantum advantage is therefore being pursued through hybrid classical–quantum algorithms—specifically variational approaches such as the Variational Quantum Eigensolver (VQE) and the Quantum Approximate Optimisation Algorithm (QAOA), which offload error-sensitive computation to classical processors while using the quantum layer for the dimensionally intractable sub-problems.</w:t>
      </w:r>
    </w:p>
    <w:p>
      <w:pPr>
        <w:pStyle w:val="Heading2"/>
        <w:spacing w:after="80" w:before="200" w:line="276" w:lineRule="auto"/>
        <w:rPr>
          <w:rFonts w:ascii="Calibri" w:cs="Calibri" w:eastAsia="Calibri" w:hAnsi="Calibri"/>
          <w:color w:val="283593"/>
        </w:rPr>
      </w:pPr>
      <w:r>
        <w:t xml:space="preserve">3.2 Quantum Error Correction: The Defining Challenge</w:t>
      </w:r>
    </w:p>
    <w:p>
      <w:pPr>
        <w:spacing w:after="120" w:before="0" w:line="276" w:lineRule="auto"/>
        <w:ind w:firstLine="720"/>
        <w:jc w:val="both"/>
      </w:pPr>
      <w:r>
        <w:rPr>
          <w:rFonts w:ascii="Times New Roman" w:cs="Times New Roman" w:eastAsia="Times New Roman" w:hAnsi="Times New Roman"/>
          <w:color w:val="212121"/>
          <w:sz w:val="24"/>
          <w:szCs w:val="24"/>
        </w:rPr>
        <w:t xml:space="preserve">The transition from NISQ to fault-tolerant quantum computing (FTQC) is gated on quantum error correction (QEC). Physical qubits are inherently noisy; QEC encodes the state of one logical qubit across many physical qubits, detecting and correcting errors before they propagate. The theoretical condition for practical FTQC is that the physical error rate fall below a "fault-tolerance threshold," above which a code can suppress logical errors exponentially as more physical qubits are added [12].</w:t>
      </w:r>
    </w:p>
    <w:p>
      <w:pPr>
        <w:spacing w:after="120" w:before="0" w:line="276" w:lineRule="auto"/>
        <w:ind w:firstLine="720"/>
        <w:jc w:val="both"/>
      </w:pPr>
      <w:r>
        <w:rPr>
          <w:rFonts w:ascii="Times New Roman" w:cs="Times New Roman" w:eastAsia="Times New Roman" w:hAnsi="Times New Roman"/>
          <w:color w:val="212121"/>
          <w:sz w:val="24"/>
          <w:szCs w:val="24"/>
        </w:rPr>
        <w:t xml:space="preserve">Google's December 2024 demonstration with the Willow chip provided the field's most significant experimental validation: using a surface code lattice scaled from 3×3 to 7×7 qubits, the team showed that logical error rates decreased exponentially with increasing code distance—the first experimental confirmation of below-threshold error correction, establishing that building a flawless computer from imperfect parts is physically achievable [3].</w:t>
      </w:r>
    </w:p>
    <w:p>
      <w:pPr>
        <w:spacing w:after="120" w:before="0" w:line="276" w:lineRule="auto"/>
        <w:ind w:firstLine="720"/>
        <w:jc w:val="both"/>
      </w:pPr>
      <w:r>
        <w:rPr>
          <w:rFonts w:ascii="Times New Roman" w:cs="Times New Roman" w:eastAsia="Times New Roman" w:hAnsi="Times New Roman"/>
          <w:color w:val="212121"/>
          <w:sz w:val="24"/>
          <w:szCs w:val="24"/>
        </w:rPr>
        <w:t xml:space="preserve">IBM is pursuing a complementary approach using quantum low-density parity-check (qLDPC) codes, which offer theoretically better encoding efficiency than surface codes. The Loon processor (2025) introduced c-couplers enabling connectivity beyond nearest-neighbour qubits, a necessary architectural feature for qLDPC implementation. The Kookaburra processor (2026) marks the first module capable of storing information in a qLDPC memory with an attached logical processing unit [4].</w:t>
      </w:r>
    </w:p>
    <w:p>
      <w:pPr>
        <w:spacing w:after="120" w:before="0" w:line="276" w:lineRule="auto"/>
        <w:ind w:firstLine="720"/>
        <w:jc w:val="both"/>
      </w:pPr>
      <w:r>
        <w:rPr>
          <w:rFonts w:ascii="Times New Roman" w:cs="Times New Roman" w:eastAsia="Times New Roman" w:hAnsi="Times New Roman"/>
          <w:color w:val="212121"/>
          <w:sz w:val="24"/>
          <w:szCs w:val="24"/>
        </w:rPr>
        <w:t xml:space="preserve">A 2025 mathematical breakthrough reduced the physical-to-logical qubit ratio from approximately 1,000:1 to roughly 100:1, dramatically lowering the resource overhead required for practical FTQC [13]. IBM additionally demonstrated real-time classical decoding of quantum error correction cycles within 480 nanoseconds using qLDPC codes—a critical engineering requirement for on-chip, co-located error correction that eliminates the need for external supercomputing infrastructure [4].</w:t>
      </w:r>
    </w:p>
    <w:p>
      <w:pPr>
        <w:pStyle w:val="Heading2"/>
        <w:spacing w:after="80" w:before="200" w:line="276" w:lineRule="auto"/>
        <w:rPr>
          <w:rFonts w:ascii="Calibri" w:cs="Calibri" w:eastAsia="Calibri" w:hAnsi="Calibri"/>
          <w:color w:val="283593"/>
        </w:rPr>
      </w:pPr>
      <w:r>
        <w:t xml:space="preserve">3.3 Hardware Architectures Compared</w:t>
      </w:r>
    </w:p>
    <w:p>
      <w:pPr>
        <w:spacing w:after="120" w:before="120" w:line="276" w:lineRule="auto"/>
        <w:jc w:val="center"/>
      </w:pPr>
      <w:r>
        <w:rPr>
          <w:rFonts w:ascii="Times New Roman" w:cs="Times New Roman" w:eastAsia="Times New Roman" w:hAnsi="Times New Roman"/>
          <w:i/>
          <w:iCs/>
          <w:color w:val="546E7A"/>
          <w:sz w:val="22"/>
          <w:szCs w:val="22"/>
        </w:rPr>
        <w:t xml:space="preserve">Table 1. Leading Quantum Computing Organisations, Architectures, and 2025–2026 Milestones</w:t>
      </w:r>
    </w:p>
    <w:tbl>
      <w:tblPr>
        <w:tblW w:type="dxa" w:w="9996"/>
        <w:tblBorders>
          <w:top w:val="single" w:color="auto" w:sz="4"/>
          <w:left w:val="single" w:color="auto" w:sz="4"/>
          <w:bottom w:val="single" w:color="auto" w:sz="4"/>
          <w:right w:val="single" w:color="auto" w:sz="4"/>
          <w:insideH w:val="single" w:color="auto" w:sz="4"/>
          <w:insideV w:val="single" w:color="auto" w:sz="4"/>
        </w:tblBorders>
      </w:tblPr>
      <w:tblGrid>
        <w:gridCol w:w="2499"/>
        <w:gridCol w:w="2499"/>
        <w:gridCol w:w="2499"/>
        <w:gridCol w:w="2499"/>
      </w:tblGrid>
      <w:tr>
        <w:tc>
          <w:tcPr>
            <w:tcW w:type="dxa" w:w="2499"/>
            <w:shd w:fill="283593"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Organisation</w:t>
            </w:r>
          </w:p>
        </w:tc>
        <w:tc>
          <w:tcPr>
            <w:tcW w:type="dxa" w:w="2499"/>
            <w:shd w:fill="283593"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Architecture</w:t>
            </w:r>
          </w:p>
        </w:tc>
        <w:tc>
          <w:tcPr>
            <w:tcW w:type="dxa" w:w="2499"/>
            <w:shd w:fill="283593"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Key 2025–26 Milestone</w:t>
            </w:r>
          </w:p>
        </w:tc>
        <w:tc>
          <w:tcPr>
            <w:tcW w:type="dxa" w:w="2499"/>
            <w:shd w:fill="283593"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Role</w:t>
            </w:r>
          </w:p>
        </w:tc>
      </w:tr>
      <w:tr>
        <w:tc>
          <w:tcPr>
            <w:tcW w:type="dxa" w:w="2499"/>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12121"/>
                <w:sz w:val="19"/>
                <w:szCs w:val="19"/>
              </w:rPr>
              <w:t xml:space="preserve">IBM</w:t>
            </w:r>
          </w:p>
        </w:tc>
        <w:tc>
          <w:tcPr>
            <w:tcW w:type="dxa" w:w="2499"/>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Superconducting</w:t>
            </w:r>
          </w:p>
        </w:tc>
        <w:tc>
          <w:tcPr>
            <w:tcW w:type="dxa" w:w="2499"/>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Nighthawk (120 qubits, 218 couplers); Loon validates FTQC components; targeting advantage by end-2026</w:t>
            </w:r>
          </w:p>
        </w:tc>
        <w:tc>
          <w:tcPr>
            <w:tcW w:type="dxa" w:w="2499"/>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Hardware + Cloud + Qiskit SDK</w:t>
            </w:r>
          </w:p>
        </w:tc>
      </w:tr>
      <w:tr>
        <w:tc>
          <w:tcPr>
            <w:tcW w:type="dxa" w:w="2499"/>
            <w:shd w:fill="EEF2FF" w:val="clear"/>
            <w:tcMar>
              <w:top w:type="dxa" w:w="60"/>
              <w:left w:type="dxa" w:w="100"/>
              <w:bottom w:type="dxa" w:w="60"/>
              <w:right w:type="dxa" w:w="100"/>
            </w:tcMar>
          </w:tcPr>
          <w:p>
            <w:pPr>
              <w:jc w:val="left"/>
            </w:pPr>
            <w:r>
              <w:rPr>
                <w:rFonts w:ascii="Times New Roman" w:cs="Times New Roman" w:eastAsia="Times New Roman" w:hAnsi="Times New Roman"/>
                <w:b/>
                <w:bCs/>
                <w:color w:val="212121"/>
                <w:sz w:val="19"/>
                <w:szCs w:val="19"/>
              </w:rPr>
              <w:t xml:space="preserve">Google / Alphabet</w:t>
            </w:r>
          </w:p>
        </w:tc>
        <w:tc>
          <w:tcPr>
            <w:tcW w:type="dxa" w:w="2499"/>
            <w:shd w:fill="EEF2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Superconducting</w:t>
            </w:r>
          </w:p>
        </w:tc>
        <w:tc>
          <w:tcPr>
            <w:tcW w:type="dxa" w:w="2499"/>
            <w:shd w:fill="EEF2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Willow: below-threshold error correction (13,000× classical speedup on benchmark)</w:t>
            </w:r>
          </w:p>
        </w:tc>
        <w:tc>
          <w:tcPr>
            <w:tcW w:type="dxa" w:w="2499"/>
            <w:shd w:fill="EEF2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Physics research + hardware</w:t>
            </w:r>
          </w:p>
        </w:tc>
      </w:tr>
      <w:tr>
        <w:tc>
          <w:tcPr>
            <w:tcW w:type="dxa" w:w="2499"/>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12121"/>
                <w:sz w:val="19"/>
                <w:szCs w:val="19"/>
              </w:rPr>
              <w:t xml:space="preserve">Microsoft</w:t>
            </w:r>
          </w:p>
        </w:tc>
        <w:tc>
          <w:tcPr>
            <w:tcW w:type="dxa" w:w="2499"/>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Topological (Majorana 1)</w:t>
            </w:r>
          </w:p>
        </w:tc>
        <w:tc>
          <w:tcPr>
            <w:tcW w:type="dxa" w:w="2499"/>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First topological qubit chip; partnered with Atom Computing on Magne (50 logical qubits, 2027)</w:t>
            </w:r>
          </w:p>
        </w:tc>
        <w:tc>
          <w:tcPr>
            <w:tcW w:type="dxa" w:w="2499"/>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Azure Quantum gateway + research</w:t>
            </w:r>
          </w:p>
        </w:tc>
      </w:tr>
      <w:tr>
        <w:tc>
          <w:tcPr>
            <w:tcW w:type="dxa" w:w="2499"/>
            <w:shd w:fill="EEF2FF" w:val="clear"/>
            <w:tcMar>
              <w:top w:type="dxa" w:w="60"/>
              <w:left w:type="dxa" w:w="100"/>
              <w:bottom w:type="dxa" w:w="60"/>
              <w:right w:type="dxa" w:w="100"/>
            </w:tcMar>
          </w:tcPr>
          <w:p>
            <w:pPr>
              <w:jc w:val="left"/>
            </w:pPr>
            <w:r>
              <w:rPr>
                <w:rFonts w:ascii="Times New Roman" w:cs="Times New Roman" w:eastAsia="Times New Roman" w:hAnsi="Times New Roman"/>
                <w:b/>
                <w:bCs/>
                <w:color w:val="212121"/>
                <w:sz w:val="19"/>
                <w:szCs w:val="19"/>
              </w:rPr>
              <w:t xml:space="preserve">IonQ</w:t>
            </w:r>
          </w:p>
        </w:tc>
        <w:tc>
          <w:tcPr>
            <w:tcW w:type="dxa" w:w="2499"/>
            <w:shd w:fill="EEF2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Trapped-ion</w:t>
            </w:r>
          </w:p>
        </w:tc>
        <w:tc>
          <w:tcPr>
            <w:tcW w:type="dxa" w:w="2499"/>
            <w:shd w:fill="EEF2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99.99% qubit fidelity; cloud access via AWS, Azure, Google Cloud</w:t>
            </w:r>
          </w:p>
        </w:tc>
        <w:tc>
          <w:tcPr>
            <w:tcW w:type="dxa" w:w="2499"/>
            <w:shd w:fill="EEF2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Pure-play hardware + cloud rental</w:t>
            </w:r>
          </w:p>
        </w:tc>
      </w:tr>
      <w:tr>
        <w:tc>
          <w:tcPr>
            <w:tcW w:type="dxa" w:w="2499"/>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212121"/>
                <w:sz w:val="19"/>
                <w:szCs w:val="19"/>
              </w:rPr>
              <w:t xml:space="preserve">Nvidia</w:t>
            </w:r>
          </w:p>
        </w:tc>
        <w:tc>
          <w:tcPr>
            <w:tcW w:type="dxa" w:w="2499"/>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Classical GPU (hybrid bridge)</w:t>
            </w:r>
          </w:p>
        </w:tc>
        <w:tc>
          <w:tcPr>
            <w:tcW w:type="dxa" w:w="2499"/>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cuQuantum SDK; H100/H200 clusters simulate quantum algorithms before execution</w:t>
            </w:r>
          </w:p>
        </w:tc>
        <w:tc>
          <w:tcPr>
            <w:tcW w:type="dxa" w:w="2499"/>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Hybrid classical-quantum bridge</w:t>
            </w:r>
          </w:p>
        </w:tc>
      </w:tr>
      <w:tr>
        <w:tc>
          <w:tcPr>
            <w:tcW w:type="dxa" w:w="2499"/>
            <w:shd w:fill="EEF2FF" w:val="clear"/>
            <w:tcMar>
              <w:top w:type="dxa" w:w="60"/>
              <w:left w:type="dxa" w:w="100"/>
              <w:bottom w:type="dxa" w:w="60"/>
              <w:right w:type="dxa" w:w="100"/>
            </w:tcMar>
          </w:tcPr>
          <w:p>
            <w:pPr>
              <w:jc w:val="left"/>
            </w:pPr>
            <w:r>
              <w:rPr>
                <w:rFonts w:ascii="Times New Roman" w:cs="Times New Roman" w:eastAsia="Times New Roman" w:hAnsi="Times New Roman"/>
                <w:b/>
                <w:bCs/>
                <w:color w:val="212121"/>
                <w:sz w:val="19"/>
                <w:szCs w:val="19"/>
              </w:rPr>
              <w:t xml:space="preserve">AWS / Azure</w:t>
            </w:r>
          </w:p>
        </w:tc>
        <w:tc>
          <w:tcPr>
            <w:tcW w:type="dxa" w:w="2499"/>
            <w:shd w:fill="EEF2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Cloud gateways</w:t>
            </w:r>
          </w:p>
        </w:tc>
        <w:tc>
          <w:tcPr>
            <w:tcW w:type="dxa" w:w="2499"/>
            <w:shd w:fill="EEF2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AWS Braket (Ocelot chip, Feb 2025); Azure Quantum hosts IonQ, Rigetti, Quantinuum</w:t>
            </w:r>
          </w:p>
        </w:tc>
        <w:tc>
          <w:tcPr>
            <w:tcW w:type="dxa" w:w="2499"/>
            <w:shd w:fill="EEF2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212121"/>
                <w:sz w:val="19"/>
                <w:szCs w:val="19"/>
              </w:rPr>
              <w:t xml:space="preserve">Access &amp; orchestration layer</w:t>
            </w:r>
          </w:p>
        </w:tc>
      </w:tr>
    </w:tbl>
    <w:p>
      <w:pPr>
        <w:spacing w:after="200" w:before="80" w:line="276" w:lineRule="auto"/>
        <w:jc w:val="center"/>
      </w:pPr>
      <w:r>
        <w:rPr>
          <w:rFonts w:ascii="Times New Roman" w:cs="Times New Roman" w:eastAsia="Times New Roman" w:hAnsi="Times New Roman"/>
          <w:i/>
          <w:iCs/>
          <w:color w:val="78909C"/>
          <w:sz w:val="18"/>
          <w:szCs w:val="18"/>
        </w:rPr>
        <w:t xml:space="preserve">Source: IBM Newsroom (2025); Google Quantum AI Blog (2024); Microsoft Azure Quantum Blog (2025); IonQ Investor Materials (2025).</w:t>
      </w:r>
    </w:p>
    <w:p>
      <w:pPr>
        <w:pStyle w:val="Heading2"/>
        <w:spacing w:after="80" w:before="200" w:line="276" w:lineRule="auto"/>
        <w:rPr>
          <w:rFonts w:ascii="Calibri" w:cs="Calibri" w:eastAsia="Calibri" w:hAnsi="Calibri"/>
          <w:color w:val="283593"/>
        </w:rPr>
      </w:pPr>
      <w:r>
        <w:t xml:space="preserve">3.4 Global Investment and Geopolitical Dimension</w:t>
      </w:r>
    </w:p>
    <w:p>
      <w:pPr>
        <w:spacing w:after="120" w:before="0" w:line="276" w:lineRule="auto"/>
        <w:ind w:firstLine="720"/>
        <w:jc w:val="both"/>
      </w:pPr>
      <w:r>
        <w:rPr>
          <w:rFonts w:ascii="Times New Roman" w:cs="Times New Roman" w:eastAsia="Times New Roman" w:hAnsi="Times New Roman"/>
          <w:color w:val="212121"/>
          <w:sz w:val="24"/>
          <w:szCs w:val="24"/>
        </w:rPr>
        <w:t xml:space="preserve">Global private investment in quantum computing reached an estimated USD 17.3 billion in 2025–2026, up from USD 2.1 billion in 2022—an eightfold increase in four years [3]. The United States leads in hardware breakthroughs and private capital. China has deployed Zuchongzhi 3.2 (107 qubits), achieving below-threshold error correction via an all-microwave control approach distinct from American architectures—the first such demonstration outside the United States [14]. Canada invested CAD 694.3 million across its National Quantum Strategy (2023) and 2025 federal budget. The European Union's Quantum Flagship programme and the EuroQCI quantum communication infrastructure initiative have established Europe as a leader in policy frameworks and foundational research [15]. This multi-polar race introduces both accelerative dynamics and significant technology-export policy tensions.</w:t>
      </w:r>
    </w:p>
    <w:p>
      <w:pPr>
        <w:pStyle w:val="Heading1"/>
        <w:spacing w:after="120" w:before="280" w:line="276" w:lineRule="auto"/>
        <w:rPr>
          <w:rFonts w:ascii="Calibri" w:cs="Calibri" w:eastAsia="Calibri" w:hAnsi="Calibri"/>
          <w:b/>
          <w:bCs/>
          <w:color w:val="1A237E"/>
        </w:rPr>
      </w:pPr>
      <w:r>
        <w:t xml:space="preserve">4. Classical Versus Quantum Computing: A Systematic Comparison</w:t>
      </w:r>
    </w:p>
    <w:p>
      <w:pPr>
        <w:spacing w:after="120" w:before="120" w:line="276" w:lineRule="auto"/>
        <w:jc w:val="center"/>
      </w:pPr>
      <w:r>
        <w:rPr>
          <w:rFonts w:ascii="Times New Roman" w:cs="Times New Roman" w:eastAsia="Times New Roman" w:hAnsi="Times New Roman"/>
          <w:i/>
          <w:iCs/>
          <w:color w:val="546E7A"/>
          <w:sz w:val="22"/>
          <w:szCs w:val="22"/>
        </w:rPr>
        <w:t xml:space="preserve">Table 2. Systematic Feature Comparison: Classical and Quantum Computing Paradigms</w:t>
      </w:r>
    </w:p>
    <w:tbl>
      <w:tblPr>
        <w:tblW w:type="dxa" w:w="9999"/>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c>
          <w:tcPr>
            <w:tcW w:type="dxa" w:w="3333"/>
            <w:shd w:fill="1A237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Feature</w:t>
            </w:r>
          </w:p>
        </w:tc>
        <w:tc>
          <w:tcPr>
            <w:tcW w:type="dxa" w:w="3333"/>
            <w:shd w:fill="1A237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Classical Computing</w:t>
            </w:r>
          </w:p>
        </w:tc>
        <w:tc>
          <w:tcPr>
            <w:tcW w:type="dxa" w:w="3333"/>
            <w:shd w:fill="1A237E"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Quantum Computing</w:t>
            </w:r>
          </w:p>
        </w:tc>
      </w:tr>
      <w:tr>
        <w:tc>
          <w:tcPr>
            <w:tcW w:type="dxa" w:w="3333"/>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12121"/>
                <w:sz w:val="20"/>
                <w:szCs w:val="20"/>
              </w:rPr>
              <w:t xml:space="preserve">Basic Unit</w:t>
            </w:r>
          </w:p>
        </w:tc>
        <w:tc>
          <w:tcPr>
            <w:tcW w:type="dxa" w:w="3333"/>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12121"/>
                <w:sz w:val="20"/>
                <w:szCs w:val="20"/>
              </w:rPr>
              <w:t xml:space="preserve">Bit (strictly 0 or 1)</w:t>
            </w:r>
          </w:p>
        </w:tc>
        <w:tc>
          <w:tcPr>
            <w:tcW w:type="dxa" w:w="3333"/>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12121"/>
                <w:sz w:val="20"/>
                <w:szCs w:val="20"/>
              </w:rPr>
              <w:t xml:space="preserve">Qubit (0, 1, or superposition of both)</w:t>
            </w:r>
          </w:p>
        </w:tc>
      </w:tr>
      <w:tr>
        <w:tc>
          <w:tcPr>
            <w:tcW w:type="dxa" w:w="3333"/>
            <w:shd w:fill="EEF2FF" w:val="clear"/>
            <w:tcMar>
              <w:top w:type="dxa" w:w="60"/>
              <w:left w:type="dxa" w:w="120"/>
              <w:bottom w:type="dxa" w:w="60"/>
              <w:right w:type="dxa" w:w="120"/>
            </w:tcMar>
          </w:tcPr>
          <w:p>
            <w:pPr>
              <w:jc w:val="left"/>
            </w:pPr>
            <w:r>
              <w:rPr>
                <w:rFonts w:ascii="Times New Roman" w:cs="Times New Roman" w:eastAsia="Times New Roman" w:hAnsi="Times New Roman"/>
                <w:b/>
                <w:bCs/>
                <w:color w:val="212121"/>
                <w:sz w:val="20"/>
                <w:szCs w:val="20"/>
              </w:rPr>
              <w:t xml:space="preserve">Processing Style</w:t>
            </w:r>
          </w:p>
        </w:tc>
        <w:tc>
          <w:tcPr>
            <w:tcW w:type="dxa" w:w="3333"/>
            <w:shd w:fill="EEF2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12121"/>
                <w:sz w:val="20"/>
                <w:szCs w:val="20"/>
              </w:rPr>
              <w:t xml:space="preserve">Sequential; scales linearly</w:t>
            </w:r>
          </w:p>
        </w:tc>
        <w:tc>
          <w:tcPr>
            <w:tcW w:type="dxa" w:w="3333"/>
            <w:shd w:fill="EEF2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12121"/>
                <w:sz w:val="20"/>
                <w:szCs w:val="20"/>
              </w:rPr>
              <w:t xml:space="preserve">Parallel probability exploration; scales exponentially</w:t>
            </w:r>
          </w:p>
        </w:tc>
      </w:tr>
      <w:tr>
        <w:tc>
          <w:tcPr>
            <w:tcW w:type="dxa" w:w="3333"/>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12121"/>
                <w:sz w:val="20"/>
                <w:szCs w:val="20"/>
              </w:rPr>
              <w:t xml:space="preserve">Underlying Math</w:t>
            </w:r>
          </w:p>
        </w:tc>
        <w:tc>
          <w:tcPr>
            <w:tcW w:type="dxa" w:w="3333"/>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12121"/>
                <w:sz w:val="20"/>
                <w:szCs w:val="20"/>
              </w:rPr>
              <w:t xml:space="preserve">Boolean logic; deterministic</w:t>
            </w:r>
          </w:p>
        </w:tc>
        <w:tc>
          <w:tcPr>
            <w:tcW w:type="dxa" w:w="3333"/>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12121"/>
                <w:sz w:val="20"/>
                <w:szCs w:val="20"/>
              </w:rPr>
              <w:t xml:space="preserve">Linear algebra; probabilistic wave interference</w:t>
            </w:r>
          </w:p>
        </w:tc>
      </w:tr>
      <w:tr>
        <w:tc>
          <w:tcPr>
            <w:tcW w:type="dxa" w:w="3333"/>
            <w:shd w:fill="EEF2FF" w:val="clear"/>
            <w:tcMar>
              <w:top w:type="dxa" w:w="60"/>
              <w:left w:type="dxa" w:w="120"/>
              <w:bottom w:type="dxa" w:w="60"/>
              <w:right w:type="dxa" w:w="120"/>
            </w:tcMar>
          </w:tcPr>
          <w:p>
            <w:pPr>
              <w:jc w:val="left"/>
            </w:pPr>
            <w:r>
              <w:rPr>
                <w:rFonts w:ascii="Times New Roman" w:cs="Times New Roman" w:eastAsia="Times New Roman" w:hAnsi="Times New Roman"/>
                <w:b/>
                <w:bCs/>
                <w:color w:val="212121"/>
                <w:sz w:val="20"/>
                <w:szCs w:val="20"/>
              </w:rPr>
              <w:t xml:space="preserve">Stability</w:t>
            </w:r>
          </w:p>
        </w:tc>
        <w:tc>
          <w:tcPr>
            <w:tcW w:type="dxa" w:w="3333"/>
            <w:shd w:fill="EEF2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12121"/>
                <w:sz w:val="20"/>
                <w:szCs w:val="20"/>
              </w:rPr>
              <w:t xml:space="preserve">Highly stable at room temperature</w:t>
            </w:r>
          </w:p>
        </w:tc>
        <w:tc>
          <w:tcPr>
            <w:tcW w:type="dxa" w:w="3333"/>
            <w:shd w:fill="EEF2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12121"/>
                <w:sz w:val="20"/>
                <w:szCs w:val="20"/>
              </w:rPr>
              <w:t xml:space="preserve">Fragile; requires near absolute zero (≈ −273 °C)</w:t>
            </w:r>
          </w:p>
        </w:tc>
      </w:tr>
      <w:tr>
        <w:tc>
          <w:tcPr>
            <w:tcW w:type="dxa" w:w="3333"/>
            <w:shd w:fill="FFFFFF" w:val="clear"/>
            <w:tcMar>
              <w:top w:type="dxa" w:w="60"/>
              <w:left w:type="dxa" w:w="120"/>
              <w:bottom w:type="dxa" w:w="60"/>
              <w:right w:type="dxa" w:w="120"/>
            </w:tcMar>
          </w:tcPr>
          <w:p>
            <w:pPr>
              <w:jc w:val="left"/>
            </w:pPr>
            <w:r>
              <w:rPr>
                <w:rFonts w:ascii="Times New Roman" w:cs="Times New Roman" w:eastAsia="Times New Roman" w:hAnsi="Times New Roman"/>
                <w:b/>
                <w:bCs/>
                <w:color w:val="212121"/>
                <w:sz w:val="20"/>
                <w:szCs w:val="20"/>
              </w:rPr>
              <w:t xml:space="preserve">Error Profile</w:t>
            </w:r>
          </w:p>
        </w:tc>
        <w:tc>
          <w:tcPr>
            <w:tcW w:type="dxa" w:w="3333"/>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12121"/>
                <w:sz w:val="20"/>
                <w:szCs w:val="20"/>
              </w:rPr>
              <w:t xml:space="preserve">Low error rates; easily reproduced</w:t>
            </w:r>
          </w:p>
        </w:tc>
        <w:tc>
          <w:tcPr>
            <w:tcW w:type="dxa" w:w="3333"/>
            <w:shd w:fill="FFFF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12121"/>
                <w:sz w:val="20"/>
                <w:szCs w:val="20"/>
              </w:rPr>
              <w:t xml:space="preserve">NISQ era: noisy; FTQC era: error-corrected logical qubits</w:t>
            </w:r>
          </w:p>
        </w:tc>
      </w:tr>
      <w:tr>
        <w:tc>
          <w:tcPr>
            <w:tcW w:type="dxa" w:w="3333"/>
            <w:shd w:fill="EEF2FF" w:val="clear"/>
            <w:tcMar>
              <w:top w:type="dxa" w:w="60"/>
              <w:left w:type="dxa" w:w="120"/>
              <w:bottom w:type="dxa" w:w="60"/>
              <w:right w:type="dxa" w:w="120"/>
            </w:tcMar>
          </w:tcPr>
          <w:p>
            <w:pPr>
              <w:jc w:val="left"/>
            </w:pPr>
            <w:r>
              <w:rPr>
                <w:rFonts w:ascii="Times New Roman" w:cs="Times New Roman" w:eastAsia="Times New Roman" w:hAnsi="Times New Roman"/>
                <w:b/>
                <w:bCs/>
                <w:color w:val="212121"/>
                <w:sz w:val="20"/>
                <w:szCs w:val="20"/>
              </w:rPr>
              <w:t xml:space="preserve">Best Use Cases</w:t>
            </w:r>
          </w:p>
        </w:tc>
        <w:tc>
          <w:tcPr>
            <w:tcW w:type="dxa" w:w="3333"/>
            <w:shd w:fill="EEF2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12121"/>
                <w:sz w:val="20"/>
                <w:szCs w:val="20"/>
              </w:rPr>
              <w:t xml:space="preserve">Databases, web, code compilation, daily apps</w:t>
            </w:r>
          </w:p>
        </w:tc>
        <w:tc>
          <w:tcPr>
            <w:tcW w:type="dxa" w:w="3333"/>
            <w:shd w:fill="EEF2FF" w:val="clear"/>
            <w:tcMar>
              <w:top w:type="dxa" w:w="60"/>
              <w:left w:type="dxa" w:w="120"/>
              <w:bottom w:type="dxa" w:w="60"/>
              <w:right w:type="dxa" w:w="120"/>
            </w:tcMar>
          </w:tcPr>
          <w:p>
            <w:pPr>
              <w:jc w:val="left"/>
            </w:pPr>
            <w:r>
              <w:rPr>
                <w:rFonts w:ascii="Times New Roman" w:cs="Times New Roman" w:eastAsia="Times New Roman" w:hAnsi="Times New Roman"/>
                <w:b w:val="false"/>
                <w:bCs w:val="false"/>
                <w:color w:val="212121"/>
                <w:sz w:val="20"/>
                <w:szCs w:val="20"/>
              </w:rPr>
              <w:t xml:space="preserve">Cryptanalysis, molecular simulation, optimization, AI</w:t>
            </w:r>
          </w:p>
        </w:tc>
      </w:tr>
    </w:tbl>
    <w:p>
      <w:pPr>
        <w:spacing w:after="200" w:before="80" w:line="276" w:lineRule="auto"/>
        <w:jc w:val="center"/>
      </w:pPr>
      <w:r>
        <w:rPr>
          <w:rFonts w:ascii="Times New Roman" w:cs="Times New Roman" w:eastAsia="Times New Roman" w:hAnsi="Times New Roman"/>
          <w:i/>
          <w:iCs/>
          <w:color w:val="78909C"/>
          <w:sz w:val="18"/>
          <w:szCs w:val="18"/>
        </w:rPr>
        <w:t xml:space="preserve">Source: Author's synthesis based on Nielsen &amp; Chuang (2010) [6], IBM Quantum documentation (2025) [4], and Preskill (2018) [10].</w:t>
      </w:r>
    </w:p>
    <w:p>
      <w:pPr>
        <w:spacing w:after="120" w:before="0" w:line="276" w:lineRule="auto"/>
        <w:ind w:firstLine="720"/>
        <w:jc w:val="both"/>
      </w:pPr>
      <w:r>
        <w:rPr>
          <w:rFonts w:ascii="Times New Roman" w:cs="Times New Roman" w:eastAsia="Times New Roman" w:hAnsi="Times New Roman"/>
          <w:color w:val="212121"/>
          <w:sz w:val="24"/>
          <w:szCs w:val="24"/>
        </w:rPr>
        <w:t xml:space="preserve">The table above reveals that classical and quantum computers are not competitors but complementary systems optimised for categorically different problem structures. Classical computers excel at sequential, deterministic, rule-based tasks—compiling code, database queries, network routing. Quantum computers provide exponential acceleration specifically for problems whose solution spaces scale exponentially with input size: factoring large integers, simulating quantum chemical systems, and searching unstructured databases [16]. This complementarity underpins the hybrid computing model discussed in Section 7.</w:t>
      </w:r>
    </w:p>
    <w:p>
      <w:pPr>
        <w:pStyle w:val="Heading1"/>
        <w:spacing w:after="120" w:before="280" w:line="276" w:lineRule="auto"/>
        <w:rPr>
          <w:rFonts w:ascii="Calibri" w:cs="Calibri" w:eastAsia="Calibri" w:hAnsi="Calibri"/>
          <w:b/>
          <w:bCs/>
          <w:color w:val="1A237E"/>
        </w:rPr>
      </w:pPr>
      <w:r>
        <w:t xml:space="preserve">5. Application Domains</w:t>
      </w:r>
    </w:p>
    <w:p>
      <w:pPr>
        <w:pStyle w:val="Heading2"/>
        <w:spacing w:after="80" w:before="200" w:line="276" w:lineRule="auto"/>
        <w:rPr>
          <w:rFonts w:ascii="Calibri" w:cs="Calibri" w:eastAsia="Calibri" w:hAnsi="Calibri"/>
          <w:color w:val="283593"/>
        </w:rPr>
      </w:pPr>
      <w:r>
        <w:t xml:space="preserve">5.1 Cybersecurity and Post-Quantum Cryptography</w:t>
      </w:r>
    </w:p>
    <w:p>
      <w:pPr>
        <w:spacing w:after="120" w:before="0" w:line="276" w:lineRule="auto"/>
        <w:ind w:firstLine="720"/>
        <w:jc w:val="both"/>
      </w:pPr>
      <w:r>
        <w:rPr>
          <w:rFonts w:ascii="Times New Roman" w:cs="Times New Roman" w:eastAsia="Times New Roman" w:hAnsi="Times New Roman"/>
          <w:color w:val="212121"/>
          <w:sz w:val="24"/>
          <w:szCs w:val="24"/>
        </w:rPr>
        <w:t xml:space="preserve">The most immediate and urgent consequence of quantum computing for society is its threat to public-key cryptographic infrastructure. Modern RSA encryption derives its security from the computational intractability of factoring the product of two large prime numbers using classical algorithms. Shor's algorithm—a quantum algorithm published by Peter Shor in 1994—can factor n-bit integers in polynomial time O(n³) on a quantum computer, compared to the sub-exponential best classical algorithms [17]. A fault-tolerant quantum computer with sufficient logical qubits would therefore render RSA-2048, ECDSA, and Diffie–Hellman key exchange cryptographically obsolete.</w:t>
      </w:r>
    </w:p>
    <w:p>
      <w:pPr>
        <w:spacing w:after="120" w:before="0" w:line="276" w:lineRule="auto"/>
        <w:ind w:firstLine="720"/>
        <w:jc w:val="both"/>
      </w:pPr>
      <w:r>
        <w:rPr>
          <w:rFonts w:ascii="Times New Roman" w:cs="Times New Roman" w:eastAsia="Times New Roman" w:hAnsi="Times New Roman"/>
          <w:color w:val="212121"/>
          <w:sz w:val="24"/>
          <w:szCs w:val="24"/>
        </w:rPr>
        <w:t xml:space="preserve">The NSA CNSA 2.0 framework sets 2030 as the mandatory PQC migration deadline for US National Security Systems and recommends that organisations complete migration no later than 2035 [18]. The "Harvest Now, Decrypt Later" threat amplifies this urgency: adversaries are known to be archiving encrypted network traffic today with the intent to decrypt it using future quantum hardware. Data encrypted in 2026 with RSA must therefore be considered strategically compromised on a 5–10 year horizon [19].</w:t>
      </w:r>
    </w:p>
    <w:p>
      <w:pPr>
        <w:spacing w:after="120" w:before="0" w:line="276" w:lineRule="auto"/>
        <w:ind w:firstLine="720"/>
        <w:jc w:val="both"/>
      </w:pPr>
      <w:r>
        <w:rPr>
          <w:rFonts w:ascii="Times New Roman" w:cs="Times New Roman" w:eastAsia="Times New Roman" w:hAnsi="Times New Roman"/>
          <w:color w:val="212121"/>
          <w:sz w:val="24"/>
          <w:szCs w:val="24"/>
        </w:rPr>
        <w:t xml:space="preserve">In August 2024, NIST published three finalized post-quantum cryptographic standards—FIPS 203, FIPS 204, and FIPS 205—culminating an eight-year global competition that evaluated 82 candidate algorithms from 25 countries [5]. These standards specify: FIPS 203 (ML-KEM, based on CRYSTALS-Kyber): a module-lattice key-encapsulation mechanism replacing RSA and ECDH key exchange. FIPS 204 (ML-DSA, based on CRYSTALS-Dilithium): a lattice-based digital signature scheme replacing ECDSA and RSA signatures. FIPS 205 (SLH-DSA, based on SPHINCS+): a stateless hash-based signature scheme providing a conservative security fallback. A fourth algorithm, FALCON (FIPS 206), is in development; HQC was selected for standardisation in March 2025 [5].</w:t>
      </w:r>
    </w:p>
    <w:p>
      <w:pPr>
        <w:spacing w:after="120" w:before="0" w:line="276" w:lineRule="auto"/>
        <w:ind w:firstLine="720"/>
        <w:jc w:val="both"/>
      </w:pPr>
      <w:r>
        <w:rPr>
          <w:rFonts w:ascii="Times New Roman" w:cs="Times New Roman" w:eastAsia="Times New Roman" w:hAnsi="Times New Roman"/>
          <w:color w:val="212121"/>
          <w:sz w:val="24"/>
          <w:szCs w:val="24"/>
        </w:rPr>
        <w:t xml:space="preserve">The quantum computing–cybersecurity domain is therefore uniquely characterised by a race: the race to build a cryptographically relevant quantum computer (CRQC) versus the race to migrate infrastructure to PQC algorithms before that machine exists. Both races are proceeding simultaneously, and the outcome will determine the security of global digital infrastructure for decades.</w:t>
      </w:r>
    </w:p>
    <w:p>
      <w:pPr>
        <w:pStyle w:val="Heading2"/>
        <w:spacing w:after="80" w:before="200" w:line="276" w:lineRule="auto"/>
        <w:rPr>
          <w:rFonts w:ascii="Calibri" w:cs="Calibri" w:eastAsia="Calibri" w:hAnsi="Calibri"/>
          <w:color w:val="283593"/>
        </w:rPr>
      </w:pPr>
      <w:r>
        <w:t xml:space="preserve">5.2 Pharmaceutical Drug Discovery and Molecular Simulation</w:t>
      </w:r>
    </w:p>
    <w:p>
      <w:pPr>
        <w:spacing w:after="120" w:before="0" w:line="276" w:lineRule="auto"/>
        <w:ind w:firstLine="720"/>
        <w:jc w:val="both"/>
      </w:pPr>
      <w:r>
        <w:rPr>
          <w:rFonts w:ascii="Times New Roman" w:cs="Times New Roman" w:eastAsia="Times New Roman" w:hAnsi="Times New Roman"/>
          <w:color w:val="212121"/>
          <w:sz w:val="24"/>
          <w:szCs w:val="24"/>
        </w:rPr>
        <w:t xml:space="preserve">Classical computers are fundamentally ill-suited to simulating quantum systems. The Hilbert space of a molecule scales exponentially with the number of electrons: a molecule of 50 atoms requires a state space so vast that even the world's largest supercomputers cannot model it exactly. Approximation methods like Density Functional Theory (DFT) and Møller-Plesset perturbation theory introduce errors that accumulate in large biomolecular systems, limiting drug-target binding affinity predictions [20].</w:t>
      </w:r>
    </w:p>
    <w:p>
      <w:pPr>
        <w:spacing w:after="120" w:before="0" w:line="276" w:lineRule="auto"/>
        <w:ind w:firstLine="720"/>
        <w:jc w:val="both"/>
      </w:pPr>
      <w:r>
        <w:rPr>
          <w:rFonts w:ascii="Times New Roman" w:cs="Times New Roman" w:eastAsia="Times New Roman" w:hAnsi="Times New Roman"/>
          <w:color w:val="212121"/>
          <w:sz w:val="24"/>
          <w:szCs w:val="24"/>
        </w:rPr>
        <w:t xml:space="preserve">Quantum computers, operating under the same physical laws as the molecules they simulate, can perform exact electronic structure calculations. In March 2026, Cleveland Clinic and IBM jointly published the world's first quantum-classical hybrid workflow simulating the electronic structure of Trp-cage, a 303-atom miniprotein, executed on the IBM Quantum Heron r2 processor—the first protein-scale quantum chemistry application demonstrated in practice [21]. Separately, Qubit Pharmaceuticals and Pasqal demonstrated quantum-algorithmic hydration water placement in protein pockets using Pasqal's Orion neutral-atom quantum computer—a task classified as molecular-biology grade [21].</w:t>
      </w:r>
    </w:p>
    <w:p>
      <w:pPr>
        <w:spacing w:after="120" w:before="0" w:line="276" w:lineRule="auto"/>
        <w:ind w:firstLine="720"/>
        <w:jc w:val="both"/>
      </w:pPr>
      <w:r>
        <w:rPr>
          <w:rFonts w:ascii="Times New Roman" w:cs="Times New Roman" w:eastAsia="Times New Roman" w:hAnsi="Times New Roman"/>
          <w:color w:val="212121"/>
          <w:sz w:val="24"/>
          <w:szCs w:val="24"/>
        </w:rPr>
        <w:t xml:space="preserve">McKinsey estimates the total potential value creation from quantum computing in the life sciences at USD 200–500 billion by 2035 [22]. The quantum drug discovery market itself is projected to grow from USD 126 million in 2025 to USD 638 million by 2035 at a compound annual growth rate of 17.9% [21]. AstraZeneca, in collaboration with IonQ, AWS, and Nvidia, has already demonstrated a quantum-accelerated computational chemistry workflow for a chemical reaction in small-molecule drug synthesis [22].</w:t>
      </w:r>
    </w:p>
    <w:p>
      <w:pPr>
        <w:pStyle w:val="Heading2"/>
        <w:spacing w:after="80" w:before="200" w:line="276" w:lineRule="auto"/>
        <w:rPr>
          <w:rFonts w:ascii="Calibri" w:cs="Calibri" w:eastAsia="Calibri" w:hAnsi="Calibri"/>
          <w:color w:val="283593"/>
        </w:rPr>
      </w:pPr>
      <w:r>
        <w:t xml:space="preserve">5.3 Artificial Intelligence and Quantum Machine Learning</w:t>
      </w:r>
    </w:p>
    <w:p>
      <w:pPr>
        <w:spacing w:after="120" w:before="0" w:line="276" w:lineRule="auto"/>
        <w:ind w:firstLine="720"/>
        <w:jc w:val="both"/>
      </w:pPr>
      <w:r>
        <w:rPr>
          <w:rFonts w:ascii="Times New Roman" w:cs="Times New Roman" w:eastAsia="Times New Roman" w:hAnsi="Times New Roman"/>
          <w:color w:val="212121"/>
          <w:sz w:val="24"/>
          <w:szCs w:val="24"/>
        </w:rPr>
        <w:t xml:space="preserve">Training large-scale AI models—particularly transformer-based large language models and deep convolutional neural networks—requires processing millions to billions of parameters simultaneously, a task that strains even Nvidia's most advanced H100 and H200 GPU clusters. Quantum Machine Learning (QML) explores whether quantum circuits can provide exponential or polynomial speedups for specific learning tasks by encoding high-dimensional classical data into quantum states and performing transformations using quantum gates [23].</w:t>
      </w:r>
    </w:p>
    <w:p>
      <w:pPr>
        <w:spacing w:after="120" w:before="0" w:line="276" w:lineRule="auto"/>
        <w:ind w:firstLine="720"/>
        <w:jc w:val="both"/>
      </w:pPr>
      <w:r>
        <w:rPr>
          <w:rFonts w:ascii="Times New Roman" w:cs="Times New Roman" w:eastAsia="Times New Roman" w:hAnsi="Times New Roman"/>
          <w:color w:val="212121"/>
          <w:sz w:val="24"/>
          <w:szCs w:val="24"/>
        </w:rPr>
        <w:t xml:space="preserve">Variational Quantum Circuits (VQCs) serve as parameterised quantum neural networks, with parameters trained via classical gradient-descent optimisers in a hybrid loop. Applications under active investigation include: molecular property prediction for drug-candidate screening; quantum-enhanced generative models for de novo compound design; quantum reservoir computing for time-series classification; and quantum-convolutional neural networks for image classification [24]. A 2025 review in Chemical Reviews specifically examined quantum neural networks applied to drug discovery, documenting advances in data encoding, variational quantum circuit design, and hybrid quantum-classical approaches for molecular generation [23].</w:t>
      </w:r>
    </w:p>
    <w:p>
      <w:pPr>
        <w:pStyle w:val="Heading2"/>
        <w:spacing w:after="80" w:before="200" w:line="276" w:lineRule="auto"/>
        <w:rPr>
          <w:rFonts w:ascii="Calibri" w:cs="Calibri" w:eastAsia="Calibri" w:hAnsi="Calibri"/>
          <w:color w:val="283593"/>
        </w:rPr>
      </w:pPr>
      <w:r>
        <w:t xml:space="preserve">5.4 Space Exploration and Astronomy</w:t>
      </w:r>
    </w:p>
    <w:p>
      <w:pPr>
        <w:spacing w:after="120" w:before="0" w:line="276" w:lineRule="auto"/>
        <w:ind w:firstLine="720"/>
        <w:jc w:val="both"/>
      </w:pPr>
      <w:r>
        <w:rPr>
          <w:rFonts w:ascii="Times New Roman" w:cs="Times New Roman" w:eastAsia="Times New Roman" w:hAnsi="Times New Roman"/>
          <w:color w:val="212121"/>
          <w:sz w:val="24"/>
          <w:szCs w:val="24"/>
        </w:rPr>
        <w:t xml:space="preserve">Space missions generate petabytes of telemetry and observational data that overwhelm classical ground-based processing pipelines. In June 2025, the first photonic quantum computer was launched into orbit aboard a satellite—a system designed to fit in a 3-litre volume running on 10 watts of power, equivalent to a standard LED bulb [2]. This marked the beginning of quantum hardware in orbital operation.</w:t>
      </w:r>
    </w:p>
    <w:p>
      <w:pPr>
        <w:spacing w:after="120" w:before="0" w:line="276" w:lineRule="auto"/>
        <w:ind w:firstLine="720"/>
        <w:jc w:val="both"/>
      </w:pPr>
      <w:r>
        <w:rPr>
          <w:rFonts w:ascii="Times New Roman" w:cs="Times New Roman" w:eastAsia="Times New Roman" w:hAnsi="Times New Roman"/>
          <w:color w:val="212121"/>
          <w:sz w:val="24"/>
          <w:szCs w:val="24"/>
        </w:rPr>
        <w:t xml:space="preserve">Quantum sensing represents a distinct but complementary dimension: companies are developing atomic-physics payloads for NASA's Jet Propulsion Laboratory, scheduled for a 2028 mission. These quantum gradiometers will measure Earth's gravitational field with unprecedented precision, enabling the mapping of sub-surface water reserves and monitoring of polar ice-sheet dynamics at millimetre-scale resolution [2]. The European Space Agency has integrated quantum sensing into its Explore2040 strategy for future crewed and robotic missions to the Moon and Mars. Quantum algorithms such as Grover's algorithm also provide quadratic speedups in database search—relevant to processing raw telemetry from modern radio telescope arrays such as the Square Kilometre Array (SKA) [25].</w:t>
      </w:r>
    </w:p>
    <w:p>
      <w:pPr>
        <w:pStyle w:val="Heading2"/>
        <w:spacing w:after="80" w:before="200" w:line="276" w:lineRule="auto"/>
        <w:rPr>
          <w:rFonts w:ascii="Calibri" w:cs="Calibri" w:eastAsia="Calibri" w:hAnsi="Calibri"/>
          <w:color w:val="283593"/>
        </w:rPr>
      </w:pPr>
      <w:r>
        <w:t xml:space="preserve">5.5 Financial Services and Optimisation</w:t>
      </w:r>
    </w:p>
    <w:p>
      <w:pPr>
        <w:spacing w:after="120" w:before="0" w:line="276" w:lineRule="auto"/>
        <w:ind w:firstLine="720"/>
        <w:jc w:val="both"/>
      </w:pPr>
      <w:r>
        <w:rPr>
          <w:rFonts w:ascii="Times New Roman" w:cs="Times New Roman" w:eastAsia="Times New Roman" w:hAnsi="Times New Roman"/>
          <w:color w:val="212121"/>
          <w:sz w:val="24"/>
          <w:szCs w:val="24"/>
        </w:rPr>
        <w:t xml:space="preserve">Classical Monte Carlo simulation—the workhorse of derivatives pricing, portfolio optimisation, and risk assessment—scales poorly with the number of correlated risk factors. Quantum amplitude estimation provides quadratic speedup over classical Monte Carlo, reducing the number of samples required from O(1/ε²) to O(1/ε) to achieve the same error ε [26]. Quantum-enhanced risk models are being explored at major financial institutions for identifying Black Swan events in volatile markets, calculating optimal derivatives pricing, and performing computationally intensive portfolio rebalancing under multi-factor constraints [13].</w:t>
      </w:r>
    </w:p>
    <w:p>
      <w:pPr>
        <w:spacing w:after="120" w:before="0" w:line="276" w:lineRule="auto"/>
        <w:ind w:firstLine="720"/>
        <w:jc w:val="both"/>
      </w:pPr>
      <w:r>
        <w:rPr>
          <w:rFonts w:ascii="Times New Roman" w:cs="Times New Roman" w:eastAsia="Times New Roman" w:hAnsi="Times New Roman"/>
          <w:color w:val="212121"/>
          <w:sz w:val="24"/>
          <w:szCs w:val="24"/>
        </w:rPr>
        <w:t xml:space="preserve">Logistics and supply chain optimisation—formalised as variants of the Travelling Salesman Problem and vehicle routing problem—are NP-hard in their general form, making exact classical solutions intractable for large instances. Quantum annealers (D-Wave) and gate-model QAOA implementations have demonstrated quantum-inspired improvements for specific routing instances, with growing interest from global couriers and energy grid operators seeking real-time load balancing [16].</w:t>
      </w:r>
    </w:p>
    <w:p>
      <w:pPr>
        <w:pStyle w:val="Heading1"/>
        <w:spacing w:after="120" w:before="280" w:line="276" w:lineRule="auto"/>
        <w:rPr>
          <w:rFonts w:ascii="Calibri" w:cs="Calibri" w:eastAsia="Calibri" w:hAnsi="Calibri"/>
          <w:b/>
          <w:bCs/>
          <w:color w:val="1A237E"/>
        </w:rPr>
      </w:pPr>
      <w:r>
        <w:t xml:space="preserve">6. Post-Quantum Cryptography: A Technical Deep Dive</w:t>
      </w:r>
    </w:p>
    <w:p>
      <w:pPr>
        <w:pStyle w:val="Heading2"/>
        <w:spacing w:after="80" w:before="200" w:line="276" w:lineRule="auto"/>
        <w:rPr>
          <w:rFonts w:ascii="Calibri" w:cs="Calibri" w:eastAsia="Calibri" w:hAnsi="Calibri"/>
          <w:color w:val="283593"/>
        </w:rPr>
      </w:pPr>
      <w:r>
        <w:t xml:space="preserve">6.1 Why RSA Falls</w:t>
      </w:r>
    </w:p>
    <w:p>
      <w:pPr>
        <w:spacing w:after="120" w:before="0" w:line="276" w:lineRule="auto"/>
        <w:ind w:firstLine="720"/>
        <w:jc w:val="both"/>
      </w:pPr>
      <w:r>
        <w:rPr>
          <w:rFonts w:ascii="Times New Roman" w:cs="Times New Roman" w:eastAsia="Times New Roman" w:hAnsi="Times New Roman"/>
          <w:color w:val="212121"/>
          <w:sz w:val="24"/>
          <w:szCs w:val="24"/>
        </w:rPr>
        <w:t xml:space="preserve">RSA public-key cryptography relies on the multiplication of two large prime numbers p and q to produce a public modulus n = p × q. The private key is derived from the factorisation of n. For a key size of 2048 bits, the best classical factoring algorithms (General Number Field Sieve) require sub-exponential time—estimated at 10²⁸ operations for RSA-2048—far beyond any foreseeable classical hardware capability. However, Shor's quantum factoring algorithm reduces this to polynomial time O((log n)³), executable on a quantum computer with approximately 4,000 error-corrected logical qubits [17]. IBM projects that systems capable of threatening RSA-2048 may reach capacity by 2028 [13].</w:t>
      </w:r>
    </w:p>
    <w:p>
      <w:pPr>
        <w:pStyle w:val="Heading2"/>
        <w:spacing w:after="80" w:before="200" w:line="276" w:lineRule="auto"/>
        <w:rPr>
          <w:rFonts w:ascii="Calibri" w:cs="Calibri" w:eastAsia="Calibri" w:hAnsi="Calibri"/>
          <w:color w:val="283593"/>
        </w:rPr>
      </w:pPr>
      <w:r>
        <w:t xml:space="preserve">6.2 NIST PQC Standards: ML-KEM, ML-DSA, SLH-DSA</w:t>
      </w:r>
    </w:p>
    <w:p>
      <w:pPr>
        <w:spacing w:after="120" w:before="0" w:line="276" w:lineRule="auto"/>
        <w:ind w:firstLine="720"/>
        <w:jc w:val="both"/>
      </w:pPr>
      <w:r>
        <w:rPr>
          <w:rFonts w:ascii="Times New Roman" w:cs="Times New Roman" w:eastAsia="Times New Roman" w:hAnsi="Times New Roman"/>
          <w:color w:val="212121"/>
          <w:sz w:val="24"/>
          <w:szCs w:val="24"/>
        </w:rPr>
        <w:t xml:space="preserve">FIPS 203 specifies ML-KEM (Module-Lattice Key Encapsulation Mechanism), derived from the CRYSTALS-Kyber submission. Its security is based on the hardness of the Module Learning With Errors (MLWE) problem—a lattice problem believed to be computationally intractable for both classical and quantum adversaries [5]. It provides IND-CCA2 secure key encapsulation as a direct replacement for RSA key exchange and ECDH.</w:t>
      </w:r>
    </w:p>
    <w:p>
      <w:pPr>
        <w:spacing w:after="120" w:before="0" w:line="276" w:lineRule="auto"/>
        <w:ind w:firstLine="720"/>
        <w:jc w:val="both"/>
      </w:pPr>
      <w:r>
        <w:rPr>
          <w:rFonts w:ascii="Times New Roman" w:cs="Times New Roman" w:eastAsia="Times New Roman" w:hAnsi="Times New Roman"/>
          <w:color w:val="212121"/>
          <w:sz w:val="24"/>
          <w:szCs w:val="24"/>
        </w:rPr>
        <w:t xml:space="preserve">FIPS 204 specifies ML-DSA (Module-Lattice Digital Signature Algorithm), derived from CRYSTALS-Dilithium. It provides EUF-CMA secure digital signatures as a replacement for ECDSA and RSA signatures. FIPS 205 specifies SLH-DSA (Stateless Hash-Based Digital Signature Algorithm), derived from SPHINCS+. Its security rests solely on the collision resistance of cryptographic hash functions—independent of lattice hardness assumptions—providing a conservative fallback whose security does not depend on the assumed difficulty of any structured mathematical problem [5].</w:t>
      </w:r>
    </w:p>
    <w:p>
      <w:pPr>
        <w:spacing w:after="120" w:before="0" w:line="276" w:lineRule="auto"/>
        <w:ind w:firstLine="720"/>
        <w:jc w:val="both"/>
      </w:pPr>
      <w:r>
        <w:rPr>
          <w:rFonts w:ascii="Times New Roman" w:cs="Times New Roman" w:eastAsia="Times New Roman" w:hAnsi="Times New Roman"/>
          <w:color w:val="212121"/>
          <w:sz w:val="24"/>
          <w:szCs w:val="24"/>
        </w:rPr>
        <w:t xml:space="preserve">The practical deployment challenge is significant. PQC algorithms carry larger key and signature sizes than their classical equivalents—ML-KEM-768 public keys are 1,184 bytes versus RSA-2048's 256 bytes—imposing bandwidth and storage overheads. Hybrid TLS deployments combining classical ECDH with ML-KEM are already being standardised by the IETF as a migration pathway, allowing cryptographic agility during the transition period [19].</w:t>
      </w:r>
    </w:p>
    <w:p>
      <w:pPr>
        <w:pStyle w:val="Heading1"/>
        <w:spacing w:after="120" w:before="280" w:line="276" w:lineRule="auto"/>
        <w:rPr>
          <w:rFonts w:ascii="Calibri" w:cs="Calibri" w:eastAsia="Calibri" w:hAnsi="Calibri"/>
          <w:b/>
          <w:bCs/>
          <w:color w:val="1A237E"/>
        </w:rPr>
      </w:pPr>
      <w:r>
        <w:t xml:space="preserve">7. The Hybrid Classical–Quantum Computing Model</w:t>
      </w:r>
    </w:p>
    <w:p>
      <w:pPr>
        <w:spacing w:after="120" w:before="0" w:line="276" w:lineRule="auto"/>
        <w:ind w:firstLine="720"/>
        <w:jc w:val="both"/>
      </w:pPr>
      <w:r>
        <w:rPr>
          <w:rFonts w:ascii="Times New Roman" w:cs="Times New Roman" w:eastAsia="Times New Roman" w:hAnsi="Times New Roman"/>
          <w:color w:val="212121"/>
          <w:sz w:val="24"/>
          <w:szCs w:val="24"/>
        </w:rPr>
        <w:t xml:space="preserve">A widespread misconception positions quantum computing as a replacement for classical computing. This framing is incorrect. Quantum computers are specialised accelerators—analogous to GPUs for parallel graphics computation—that provide exponential advantages only for specific problem structures. The future of global computing is a hybrid model in which classical supercomputers handle standard digital processing and orchestrate the execution of quantum subroutines via cloud interfaces [4].</w:t>
      </w:r>
    </w:p>
    <w:p>
      <w:pPr>
        <w:spacing w:after="120" w:before="0" w:line="276" w:lineRule="auto"/>
        <w:ind w:firstLine="720"/>
        <w:jc w:val="both"/>
      </w:pPr>
      <w:r>
        <w:rPr>
          <w:rFonts w:ascii="Times New Roman" w:cs="Times New Roman" w:eastAsia="Times New Roman" w:hAnsi="Times New Roman"/>
          <w:color w:val="212121"/>
          <w:sz w:val="24"/>
          <w:szCs w:val="24"/>
        </w:rPr>
        <w:t xml:space="preserve">IBM has made this architecture explicit in its product strategy: the company is developing a C++ interface to Qiskit to allow quantum circuits to be called natively from existing High Performance Computing (HPC) environments, enabling researchers to embed quantum subroutines within existing classical scientific workflows [4]. Nvidia's cuQuantum SDK serves the complementary role, enabling classical GPU clusters to simulate and validate quantum algorithms before deployment on real quantum hardware—a critical error-checking and prototyping step in the hybrid workflow.</w:t>
      </w:r>
    </w:p>
    <w:p>
      <w:pPr>
        <w:spacing w:after="120" w:before="0" w:line="276" w:lineRule="auto"/>
        <w:ind w:firstLine="720"/>
        <w:jc w:val="both"/>
      </w:pPr>
      <w:r>
        <w:rPr>
          <w:rFonts w:ascii="Times New Roman" w:cs="Times New Roman" w:eastAsia="Times New Roman" w:hAnsi="Times New Roman"/>
          <w:color w:val="212121"/>
          <w:sz w:val="24"/>
          <w:szCs w:val="24"/>
        </w:rPr>
        <w:t xml:space="preserve">The quantum programming ecosystem has matured substantially. IBM's Qiskit (Python-based, open source) is the most widely deployed quantum software framework globally, with a planned C++ interface and computational libraries for machine learning and optimisation by 2027 [4]. Microsoft's Q# is a purpose-built quantum programming language that operates at a higher abstraction level than circuit-assembly frameworks, treating qubits as first-class variables with automatic lifecycle management and supporting seamless classical-quantum code interleaving. Q#'s Resource Estimator calculates the exact physical qubit and gate count requirements for an algorithm before it is submitted to hardware—essential for understanding whether current hardware is adequate for a given computation.</w:t>
      </w:r>
    </w:p>
    <w:p>
      <w:pPr>
        <w:pStyle w:val="Heading1"/>
        <w:spacing w:after="120" w:before="280" w:line="276" w:lineRule="auto"/>
        <w:rPr>
          <w:rFonts w:ascii="Calibri" w:cs="Calibri" w:eastAsia="Calibri" w:hAnsi="Calibri"/>
          <w:b/>
          <w:bCs/>
          <w:color w:val="1A237E"/>
        </w:rPr>
      </w:pPr>
      <w:r>
        <w:t xml:space="preserve">8. Future Outlook and Projected Timeline</w:t>
      </w:r>
    </w:p>
    <w:p>
      <w:pPr>
        <w:spacing w:after="120" w:before="0" w:line="276" w:lineRule="auto"/>
        <w:ind w:firstLine="720"/>
        <w:jc w:val="both"/>
      </w:pPr>
      <w:r>
        <w:rPr>
          <w:rFonts w:ascii="Times New Roman" w:cs="Times New Roman" w:eastAsia="Times New Roman" w:hAnsi="Times New Roman"/>
          <w:color w:val="212121"/>
          <w:sz w:val="24"/>
          <w:szCs w:val="24"/>
        </w:rPr>
        <w:t xml:space="preserve">The consensus among hardware companies and independent analysts places commercially transformative, fault-tolerant quantum computing in the 2029–2033 timeframe. IBM's Starling system (2029 target) aims for 200 logical qubits capable of executing circuits with 100 million quantum gates—sufficient for tackling industrially relevant chemistry simulations, deep optimisation problems, and potentially early cryptanalytic applications [9]. Google's roadmap targets a large-scale fault-tolerant machine by the end of the decade. These timelines represent targets informed by engineering milestones, not guarantees.</w:t>
      </w:r>
    </w:p>
    <w:p>
      <w:pPr>
        <w:spacing w:after="120" w:before="0" w:line="276" w:lineRule="auto"/>
        <w:ind w:firstLine="720"/>
        <w:jc w:val="both"/>
      </w:pPr>
      <w:r>
        <w:rPr>
          <w:rFonts w:ascii="Times New Roman" w:cs="Times New Roman" w:eastAsia="Times New Roman" w:hAnsi="Times New Roman"/>
          <w:color w:val="212121"/>
          <w:sz w:val="24"/>
          <w:szCs w:val="24"/>
        </w:rPr>
        <w:t xml:space="preserve">By 2026, the conversation in quantum computing has already shifted from "can we correct errors?" to "can we demonstrate genuine quantum advantage on a useful, commercially relevant problem?" IBM projects the first verified quantum advantage cases—where quantum hardware solves a practical problem faster or more cheaply than any classical approach—will be confirmed and validated by end of 2026 [3]. The sectors most likely to see commercially meaningful quantum impact first are pharmaceutical and biotech (molecular simulation), financial services (Monte Carlo and optimisation), materials science (battery chemistry, superconductor design), and defence/intelligence (cryptanalysis readiness) [4].</w:t>
      </w:r>
    </w:p>
    <w:p>
      <w:pPr>
        <w:spacing w:after="120" w:before="0" w:line="276" w:lineRule="auto"/>
        <w:ind w:firstLine="720"/>
        <w:jc w:val="both"/>
      </w:pPr>
      <w:r>
        <w:rPr>
          <w:rFonts w:ascii="Times New Roman" w:cs="Times New Roman" w:eastAsia="Times New Roman" w:hAnsi="Times New Roman"/>
          <w:color w:val="212121"/>
          <w:sz w:val="24"/>
          <w:szCs w:val="24"/>
        </w:rPr>
        <w:t xml:space="preserve">Longer-term, the societal impacts of quantum computing are difficult to overstate. A mature quantum computer capable of simulating complex nitrogen-fixation chemistry at room temperature could reduce global energy consumption by roughly 2%, the share currently consumed by industrial fertiliser production [13]. Design of room-temperature superconductors would revolutionise energy transmission infrastructure. The intersection of quantum computing and artificial intelligence—quantum machine learning—may accelerate the development of pharmaceutical candidates from decades to years. However, these transformative applications remain contingent on achieving error-corrected logical qubit counts substantially higher than any system currently demonstrated.</w:t>
      </w:r>
    </w:p>
    <w:p>
      <w:pPr>
        <w:pStyle w:val="Heading1"/>
        <w:spacing w:after="120" w:before="280" w:line="276" w:lineRule="auto"/>
        <w:rPr>
          <w:rFonts w:ascii="Calibri" w:cs="Calibri" w:eastAsia="Calibri" w:hAnsi="Calibri"/>
          <w:b/>
          <w:bCs/>
          <w:color w:val="1A237E"/>
        </w:rPr>
      </w:pPr>
      <w:r>
        <w:t xml:space="preserve">9. Challenges, Limitations, and Research Gaps</w:t>
      </w:r>
    </w:p>
    <w:p>
      <w:pPr>
        <w:pStyle w:val="Heading2"/>
        <w:spacing w:after="80" w:before="200" w:line="276" w:lineRule="auto"/>
        <w:rPr>
          <w:rFonts w:ascii="Calibri" w:cs="Calibri" w:eastAsia="Calibri" w:hAnsi="Calibri"/>
          <w:color w:val="283593"/>
        </w:rPr>
      </w:pPr>
      <w:r>
        <w:t xml:space="preserve">9.1 Hardware Scalability</w:t>
      </w:r>
    </w:p>
    <w:p>
      <w:pPr>
        <w:spacing w:after="120" w:before="0" w:line="276" w:lineRule="auto"/>
        <w:ind w:firstLine="720"/>
        <w:jc w:val="both"/>
      </w:pPr>
      <w:r>
        <w:rPr>
          <w:rFonts w:ascii="Times New Roman" w:cs="Times New Roman" w:eastAsia="Times New Roman" w:hAnsi="Times New Roman"/>
          <w:color w:val="212121"/>
          <w:sz w:val="24"/>
          <w:szCs w:val="24"/>
        </w:rPr>
        <w:t xml:space="preserve">Scaling superconducting qubit processors requires simultaneous improvements in qubit coherence times, gate fidelities, qubit interconnect density, and cryogenic engineering. The physical overhead of dilution refrigerators—which must maintain millikelvin temperatures across increasingly large processor surfaces—is a significant engineering constraint. IBM's shift to 300mm wafer fabrication (2025) doubles development throughput and enables a 10× increase in chip physical complexity for the fault-tolerant roadmap [4], but qubit connectivity remains a bottleneck for implementing high-rate qLDPC codes.</w:t>
      </w:r>
    </w:p>
    <w:p>
      <w:pPr>
        <w:pStyle w:val="Heading2"/>
        <w:spacing w:after="80" w:before="200" w:line="276" w:lineRule="auto"/>
        <w:rPr>
          <w:rFonts w:ascii="Calibri" w:cs="Calibri" w:eastAsia="Calibri" w:hAnsi="Calibri"/>
          <w:color w:val="283593"/>
        </w:rPr>
      </w:pPr>
      <w:r>
        <w:t xml:space="preserve">9.2 Quantum Software and Algorithm Development</w:t>
      </w:r>
    </w:p>
    <w:p>
      <w:pPr>
        <w:spacing w:after="120" w:before="0" w:line="276" w:lineRule="auto"/>
        <w:ind w:firstLine="720"/>
        <w:jc w:val="both"/>
      </w:pPr>
      <w:r>
        <w:rPr>
          <w:rFonts w:ascii="Times New Roman" w:cs="Times New Roman" w:eastAsia="Times New Roman" w:hAnsi="Times New Roman"/>
          <w:color w:val="212121"/>
          <w:sz w:val="24"/>
          <w:szCs w:val="24"/>
        </w:rPr>
        <w:t xml:space="preserve">The number of quantum algorithms with proven exponential advantages over the best classical alternatives remains modest. Shor's factoring algorithm and Grover's search algorithm are the two most famous, but the quantum algorithm zoo beyond these remains relatively sparse for commercially critical applications. Developing new quantum algorithms requires deep expertise at the intersection of quantum information theory, linear algebra, and domain knowledge—a talent pool that is currently severely limited globally.</w:t>
      </w:r>
    </w:p>
    <w:p>
      <w:pPr>
        <w:pStyle w:val="Heading2"/>
        <w:spacing w:after="80" w:before="200" w:line="276" w:lineRule="auto"/>
        <w:rPr>
          <w:rFonts w:ascii="Calibri" w:cs="Calibri" w:eastAsia="Calibri" w:hAnsi="Calibri"/>
          <w:color w:val="283593"/>
        </w:rPr>
      </w:pPr>
      <w:r>
        <w:t xml:space="preserve">9.3 Workforce and Education Gap</w:t>
      </w:r>
    </w:p>
    <w:p>
      <w:pPr>
        <w:spacing w:after="120" w:before="0" w:line="276" w:lineRule="auto"/>
        <w:ind w:firstLine="720"/>
        <w:jc w:val="both"/>
      </w:pPr>
      <w:r>
        <w:rPr>
          <w:rFonts w:ascii="Times New Roman" w:cs="Times New Roman" w:eastAsia="Times New Roman" w:hAnsi="Times New Roman"/>
          <w:color w:val="212121"/>
          <w:sz w:val="24"/>
          <w:szCs w:val="24"/>
        </w:rPr>
        <w:t xml:space="preserve">The quantum computing workforce pipeline is insufficient relative to the industry's growth rate. Universities are expanding quantum engineering curricula, but the shortage of practitioners who can bridge the classical software engineering world and the quantum hardware reality is a near-term bottleneck. Open platforms such as IBM Quantum (free cloud access to real quantum processors), GitHub Student Developer Pack (cloud credits and development tools), and Overleaf (LaTeX for academic publication) provide accessible entry points for students and researchers beginning to develop quantum literacy [2].</w:t>
      </w:r>
    </w:p>
    <w:p>
      <w:pPr>
        <w:pStyle w:val="Heading1"/>
        <w:spacing w:after="120" w:before="280" w:line="276" w:lineRule="auto"/>
        <w:rPr>
          <w:rFonts w:ascii="Calibri" w:cs="Calibri" w:eastAsia="Calibri" w:hAnsi="Calibri"/>
          <w:b/>
          <w:bCs/>
          <w:color w:val="1A237E"/>
        </w:rPr>
      </w:pPr>
      <w:r>
        <w:t xml:space="preserve">10. Conclusion</w:t>
      </w:r>
    </w:p>
    <w:p>
      <w:pPr>
        <w:spacing w:after="120" w:before="0" w:line="276" w:lineRule="auto"/>
        <w:ind w:firstLine="720"/>
        <w:jc w:val="both"/>
      </w:pPr>
      <w:r>
        <w:rPr>
          <w:rFonts w:ascii="Times New Roman" w:cs="Times New Roman" w:eastAsia="Times New Roman" w:hAnsi="Times New Roman"/>
          <w:color w:val="212121"/>
          <w:sz w:val="24"/>
          <w:szCs w:val="24"/>
        </w:rPr>
        <w:t xml:space="preserve">Quantum computing has crossed the threshold from speculative research into demonstrable applied engineering. The hardware milestones of 2024–2026—Google's below-threshold error correction, IBM's Nighthawk and Loon processors, Microsoft's Majorana 1 topological chip, and the proliferation of cloud-accessible quantum platforms—have collectively established a credible and technically supported trajectory toward fault-tolerant quantum computing by the end of this decade.</w:t>
      </w:r>
    </w:p>
    <w:p>
      <w:pPr>
        <w:spacing w:after="120" w:before="0" w:line="276" w:lineRule="auto"/>
        <w:ind w:firstLine="720"/>
        <w:jc w:val="both"/>
      </w:pPr>
      <w:r>
        <w:rPr>
          <w:rFonts w:ascii="Times New Roman" w:cs="Times New Roman" w:eastAsia="Times New Roman" w:hAnsi="Times New Roman"/>
          <w:color w:val="212121"/>
          <w:sz w:val="24"/>
          <w:szCs w:val="24"/>
        </w:rPr>
        <w:t xml:space="preserve">The implications are domain-spanning and urgent. In cybersecurity, the NIST PQC standards (FIPS 203–205) have initiated a global cryptographic migration that organisations cannot afford to delay: the Harvest Now, Decrypt Later threat makes every day of RSA-encrypted data transmission a deferred liability. In pharmaceutical research, hybrid quantum-classical workflows have already demonstrated protein-scale molecular simulation that eluded classical hardware entirely. In artificial intelligence, space science, financial modelling, and logistics, quantum acceleration offers speed and precision improvements that will compound over time as hardware matures.</w:t>
      </w:r>
    </w:p>
    <w:p>
      <w:pPr>
        <w:spacing w:after="120" w:before="0" w:line="276" w:lineRule="auto"/>
        <w:ind w:firstLine="720"/>
        <w:jc w:val="both"/>
      </w:pPr>
      <w:r>
        <w:rPr>
          <w:rFonts w:ascii="Times New Roman" w:cs="Times New Roman" w:eastAsia="Times New Roman" w:hAnsi="Times New Roman"/>
          <w:color w:val="212121"/>
          <w:sz w:val="24"/>
          <w:szCs w:val="24"/>
        </w:rPr>
        <w:t xml:space="preserve">The hybrid computing paradigm—where classical supercomputers and quantum processors collaborate through cloud-native interfaces—will define the near-term computational landscape. Engineers, researchers, and policymakers who develop quantum literacy today will be disproportionately positioned to shape the technological infrastructure of the next thirty years. The quantum era is not approaching; it has begun.</w:t>
      </w:r>
    </w:p>
    <w:p>
      <w:pPr>
        <w:pBdr>
          <w:bottom w:val="single" w:color="B0BEC5" w:sz="8" w:space="1"/>
        </w:pBdr>
        <w:spacing w:after="120" w:before="120" w:line="276" w:lineRule="auto"/>
      </w:pPr>
    </w:p>
    <w:p>
      <w:pPr>
        <w:pStyle w:val="Heading1"/>
        <w:spacing w:after="120" w:before="280" w:line="276" w:lineRule="auto"/>
        <w:rPr>
          <w:rFonts w:ascii="Calibri" w:cs="Calibri" w:eastAsia="Calibri" w:hAnsi="Calibri"/>
          <w:b/>
          <w:bCs/>
          <w:color w:val="1A237E"/>
        </w:rPr>
      </w:pPr>
      <w:r>
        <w:t xml:space="preserve">References</w:t>
      </w:r>
    </w:p>
    <w:p>
      <w:pPr>
        <w:spacing w:after="120" w:before="0" w:line="276" w:lineRule="auto"/>
        <w:jc w:val="both"/>
      </w:pPr>
      <w:r>
        <w:rPr>
          <w:rFonts w:ascii="Times New Roman" w:cs="Times New Roman" w:eastAsia="Times New Roman" w:hAnsi="Times New Roman"/>
          <w:color w:val="212121"/>
          <w:sz w:val="24"/>
          <w:szCs w:val="24"/>
        </w:rPr>
        <w:t xml:space="preserve">The following references adhere to IEEE citation format:</w:t>
      </w:r>
    </w:p>
    <w:p>
      <w:pPr>
        <w:spacing w:after="80"/>
      </w:pPr>
    </w:p>
    <w:p>
      <w:pPr>
        <w:spacing w:after="120" w:before="0" w:line="276" w:lineRule="auto"/>
        <w:ind w:left="540" w:hanging="540"/>
      </w:pPr>
      <w:r>
        <w:rPr>
          <w:rFonts w:ascii="Times New Roman" w:cs="Times New Roman" w:eastAsia="Times New Roman" w:hAnsi="Times New Roman"/>
          <w:b/>
          <w:bCs/>
          <w:color w:val="3949AB"/>
          <w:sz w:val="22"/>
          <w:szCs w:val="22"/>
        </w:rPr>
        <w:t xml:space="preserve">[1]</w:t>
      </w:r>
      <w:r>
        <w:rPr>
          <w:rFonts w:ascii="Times New Roman" w:cs="Times New Roman" w:eastAsia="Times New Roman" w:hAnsi="Times New Roman"/>
          <w:color w:val="212121"/>
          <w:sz w:val="22"/>
          <w:szCs w:val="22"/>
        </w:rPr>
        <w:t xml:space="preserve">  R. H. Dennard et al., "Design of ion-implanted MOSFET's with very small physical dimensions," IEEE J. Solid-State Circuits, vol. SC-9, no. 5, pp. 256–268, Oct. 1974; updated analysis in N. P. Jouppi et al., "In-datacenter performance analysis of a tensor processing unit," in Proc. 44th Annu. Int. Symp. Comput. Arch. (ISCA), Jun. 2017.</w:t>
      </w:r>
    </w:p>
    <w:p>
      <w:pPr>
        <w:spacing w:after="120" w:before="0" w:line="276" w:lineRule="auto"/>
        <w:ind w:left="540" w:hanging="540"/>
      </w:pPr>
      <w:r>
        <w:rPr>
          <w:rFonts w:ascii="Times New Roman" w:cs="Times New Roman" w:eastAsia="Times New Roman" w:hAnsi="Times New Roman"/>
          <w:b/>
          <w:bCs/>
          <w:color w:val="3949AB"/>
          <w:sz w:val="22"/>
          <w:szCs w:val="22"/>
        </w:rPr>
        <w:t xml:space="preserve">[2]</w:t>
      </w:r>
      <w:r>
        <w:rPr>
          <w:rFonts w:ascii="Times New Roman" w:cs="Times New Roman" w:eastAsia="Times New Roman" w:hAnsi="Times New Roman"/>
          <w:color w:val="212121"/>
          <w:sz w:val="22"/>
          <w:szCs w:val="22"/>
        </w:rPr>
        <w:t xml:space="preserve">  Darshan Hudeda, "Quantum Computing: Future World Applications," unpublished manuscript synthesised from IBM Quantum, ESA Explore2040, and NASA JPL quantum sensor mission documentation, 2026.</w:t>
      </w:r>
    </w:p>
    <w:p>
      <w:pPr>
        <w:spacing w:after="120" w:before="0" w:line="276" w:lineRule="auto"/>
        <w:ind w:left="540" w:hanging="540"/>
      </w:pPr>
      <w:r>
        <w:rPr>
          <w:rFonts w:ascii="Times New Roman" w:cs="Times New Roman" w:eastAsia="Times New Roman" w:hAnsi="Times New Roman"/>
          <w:b/>
          <w:bCs/>
          <w:color w:val="3949AB"/>
          <w:sz w:val="22"/>
          <w:szCs w:val="22"/>
        </w:rPr>
        <w:t xml:space="preserve">[3]</w:t>
      </w:r>
      <w:r>
        <w:rPr>
          <w:rFonts w:ascii="Times New Roman" w:cs="Times New Roman" w:eastAsia="Times New Roman" w:hAnsi="Times New Roman"/>
          <w:color w:val="212121"/>
          <w:sz w:val="22"/>
          <w:szCs w:val="22"/>
        </w:rPr>
        <w:t xml:space="preserve">  Google Quantum AI, "Quantum error correction below the surface code threshold," Nature, vol. 638, pp. 920–926, Feb. 2025. DOI: 10.1038/s41586-024-08500-6. [Online]. Available: https://www.nature.com/articles/s41586-024-08500-6.</w:t>
      </w:r>
    </w:p>
    <w:p>
      <w:pPr>
        <w:spacing w:after="120" w:before="0" w:line="276" w:lineRule="auto"/>
        <w:ind w:left="540" w:hanging="540"/>
      </w:pPr>
      <w:r>
        <w:rPr>
          <w:rFonts w:ascii="Times New Roman" w:cs="Times New Roman" w:eastAsia="Times New Roman" w:hAnsi="Times New Roman"/>
          <w:b/>
          <w:bCs/>
          <w:color w:val="3949AB"/>
          <w:sz w:val="22"/>
          <w:szCs w:val="22"/>
        </w:rPr>
        <w:t xml:space="preserve">[4]</w:t>
      </w:r>
      <w:r>
        <w:rPr>
          <w:rFonts w:ascii="Times New Roman" w:cs="Times New Roman" w:eastAsia="Times New Roman" w:hAnsi="Times New Roman"/>
          <w:color w:val="212121"/>
          <w:sz w:val="22"/>
          <w:szCs w:val="22"/>
        </w:rPr>
        <w:t xml:space="preserve">  IBM Research, "IBM Delivers New Quantum Processors, Software, and Algorithm Breakthroughs on Path to Advantage and Fault Tolerance," IBM Newsroom, Nov. 12, 2025. [Online]. Available: https://newsroom.ibm.com/2025-11-12-ibm-delivers-new-quantum-processors.</w:t>
      </w:r>
    </w:p>
    <w:p>
      <w:pPr>
        <w:spacing w:after="120" w:before="0" w:line="276" w:lineRule="auto"/>
        <w:ind w:left="540" w:hanging="540"/>
      </w:pPr>
      <w:r>
        <w:rPr>
          <w:rFonts w:ascii="Times New Roman" w:cs="Times New Roman" w:eastAsia="Times New Roman" w:hAnsi="Times New Roman"/>
          <w:b/>
          <w:bCs/>
          <w:color w:val="3949AB"/>
          <w:sz w:val="22"/>
          <w:szCs w:val="22"/>
        </w:rPr>
        <w:t xml:space="preserve">[5]</w:t>
      </w:r>
      <w:r>
        <w:rPr>
          <w:rFonts w:ascii="Times New Roman" w:cs="Times New Roman" w:eastAsia="Times New Roman" w:hAnsi="Times New Roman"/>
          <w:color w:val="212121"/>
          <w:sz w:val="22"/>
          <w:szCs w:val="22"/>
        </w:rPr>
        <w:t xml:space="preserve">  National Institute of Standards and Technology (NIST), "Post-Quantum Cryptography: FIPS 203, FIPS 204, FIPS 205," NIST FIPS Standards, Aug. 13, 2024. [Online]. Available: https://csrc.nist.gov/pqc-standardization.</w:t>
      </w:r>
    </w:p>
    <w:p>
      <w:pPr>
        <w:spacing w:after="120" w:before="0" w:line="276" w:lineRule="auto"/>
        <w:ind w:left="540" w:hanging="540"/>
      </w:pPr>
      <w:r>
        <w:rPr>
          <w:rFonts w:ascii="Times New Roman" w:cs="Times New Roman" w:eastAsia="Times New Roman" w:hAnsi="Times New Roman"/>
          <w:b/>
          <w:bCs/>
          <w:color w:val="3949AB"/>
          <w:sz w:val="22"/>
          <w:szCs w:val="22"/>
        </w:rPr>
        <w:t xml:space="preserve">[6]</w:t>
      </w:r>
      <w:r>
        <w:rPr>
          <w:rFonts w:ascii="Times New Roman" w:cs="Times New Roman" w:eastAsia="Times New Roman" w:hAnsi="Times New Roman"/>
          <w:color w:val="212121"/>
          <w:sz w:val="22"/>
          <w:szCs w:val="22"/>
        </w:rPr>
        <w:t xml:space="preserve">  M. A. Nielsen and I. L. Chuang, Quantum Computation and Quantum Information, 10th Anniversary ed. Cambridge, UK: Cambridge University Press, 2010.</w:t>
      </w:r>
    </w:p>
    <w:p>
      <w:pPr>
        <w:spacing w:after="120" w:before="0" w:line="276" w:lineRule="auto"/>
        <w:ind w:left="540" w:hanging="540"/>
      </w:pPr>
      <w:r>
        <w:rPr>
          <w:rFonts w:ascii="Times New Roman" w:cs="Times New Roman" w:eastAsia="Times New Roman" w:hAnsi="Times New Roman"/>
          <w:b/>
          <w:bCs/>
          <w:color w:val="3949AB"/>
          <w:sz w:val="22"/>
          <w:szCs w:val="22"/>
        </w:rPr>
        <w:t xml:space="preserve">[7]</w:t>
      </w:r>
      <w:r>
        <w:rPr>
          <w:rFonts w:ascii="Times New Roman" w:cs="Times New Roman" w:eastAsia="Times New Roman" w:hAnsi="Times New Roman"/>
          <w:color w:val="212121"/>
          <w:sz w:val="22"/>
          <w:szCs w:val="22"/>
        </w:rPr>
        <w:t xml:space="preserve">  A. Einstein, B. Podolsky, and N. Rosen, "Can quantum-mechanical description of physical reality be considered complete?" Phys. Rev., vol. 47, no. 10, pp. 777–780, May 1935.</w:t>
      </w:r>
    </w:p>
    <w:p>
      <w:pPr>
        <w:spacing w:after="120" w:before="0" w:line="276" w:lineRule="auto"/>
        <w:ind w:left="540" w:hanging="540"/>
      </w:pPr>
      <w:r>
        <w:rPr>
          <w:rFonts w:ascii="Times New Roman" w:cs="Times New Roman" w:eastAsia="Times New Roman" w:hAnsi="Times New Roman"/>
          <w:b/>
          <w:bCs/>
          <w:color w:val="3949AB"/>
          <w:sz w:val="22"/>
          <w:szCs w:val="22"/>
        </w:rPr>
        <w:t xml:space="preserve">[8]</w:t>
      </w:r>
      <w:r>
        <w:rPr>
          <w:rFonts w:ascii="Times New Roman" w:cs="Times New Roman" w:eastAsia="Times New Roman" w:hAnsi="Times New Roman"/>
          <w:color w:val="212121"/>
          <w:sz w:val="22"/>
          <w:szCs w:val="22"/>
        </w:rPr>
        <w:t xml:space="preserve">  P. W. Shor and J. Preskill, "Simple proof of security of the BB84 quantum key distribution protocol," Phys. Rev. Lett., vol. 85, no. 2, pp. 441–444, 2000.</w:t>
      </w:r>
    </w:p>
    <w:p>
      <w:pPr>
        <w:spacing w:after="120" w:before="0" w:line="276" w:lineRule="auto"/>
        <w:ind w:left="540" w:hanging="540"/>
      </w:pPr>
      <w:r>
        <w:rPr>
          <w:rFonts w:ascii="Times New Roman" w:cs="Times New Roman" w:eastAsia="Times New Roman" w:hAnsi="Times New Roman"/>
          <w:b/>
          <w:bCs/>
          <w:color w:val="3949AB"/>
          <w:sz w:val="22"/>
          <w:szCs w:val="22"/>
        </w:rPr>
        <w:t xml:space="preserve">[9]</w:t>
      </w:r>
      <w:r>
        <w:rPr>
          <w:rFonts w:ascii="Times New Roman" w:cs="Times New Roman" w:eastAsia="Times New Roman" w:hAnsi="Times New Roman"/>
          <w:color w:val="212121"/>
          <w:sz w:val="22"/>
          <w:szCs w:val="22"/>
        </w:rPr>
        <w:t xml:space="preserve">  IBM Quantum, "IBM Quantum Roadmap 2026 and Beyond," IBM Technology Atlas, 2026. [Online]. Available: https://www.ibm.com/roadmaps/quantum/2026/.</w:t>
      </w:r>
    </w:p>
    <w:p>
      <w:pPr>
        <w:spacing w:after="120" w:before="0" w:line="276" w:lineRule="auto"/>
        <w:ind w:left="540" w:hanging="540"/>
      </w:pPr>
      <w:r>
        <w:rPr>
          <w:rFonts w:ascii="Times New Roman" w:cs="Times New Roman" w:eastAsia="Times New Roman" w:hAnsi="Times New Roman"/>
          <w:b/>
          <w:bCs/>
          <w:color w:val="3949AB"/>
          <w:sz w:val="22"/>
          <w:szCs w:val="22"/>
        </w:rPr>
        <w:t xml:space="preserve">[10]</w:t>
      </w:r>
      <w:r>
        <w:rPr>
          <w:rFonts w:ascii="Times New Roman" w:cs="Times New Roman" w:eastAsia="Times New Roman" w:hAnsi="Times New Roman"/>
          <w:color w:val="212121"/>
          <w:sz w:val="22"/>
          <w:szCs w:val="22"/>
        </w:rPr>
        <w:t xml:space="preserve">  J. Preskill, "Quantum computing in the NISQ era and beyond," Quantum, vol. 2, p. 79, Aug. 2018. DOI: 10.22331/q-2018-08-06-79.</w:t>
      </w:r>
    </w:p>
    <w:p>
      <w:pPr>
        <w:spacing w:after="120" w:before="0" w:line="276" w:lineRule="auto"/>
        <w:ind w:left="540" w:hanging="540"/>
      </w:pPr>
      <w:r>
        <w:rPr>
          <w:rFonts w:ascii="Times New Roman" w:cs="Times New Roman" w:eastAsia="Times New Roman" w:hAnsi="Times New Roman"/>
          <w:b/>
          <w:bCs/>
          <w:color w:val="3949AB"/>
          <w:sz w:val="22"/>
          <w:szCs w:val="22"/>
        </w:rPr>
        <w:t xml:space="preserve">[11]</w:t>
      </w:r>
      <w:r>
        <w:rPr>
          <w:rFonts w:ascii="Times New Roman" w:cs="Times New Roman" w:eastAsia="Times New Roman" w:hAnsi="Times New Roman"/>
          <w:color w:val="212121"/>
          <w:sz w:val="22"/>
          <w:szCs w:val="22"/>
        </w:rPr>
        <w:t xml:space="preserve">  F. Arute et al., "Quantum supremacy using a programmable superconducting processor," Nature, vol. 574, pp. 505–510, Oct. 2019. DOI: 10.1038/s41586-019-1666-5.</w:t>
      </w:r>
    </w:p>
    <w:p>
      <w:pPr>
        <w:spacing w:after="120" w:before="0" w:line="276" w:lineRule="auto"/>
        <w:ind w:left="540" w:hanging="540"/>
      </w:pPr>
      <w:r>
        <w:rPr>
          <w:rFonts w:ascii="Times New Roman" w:cs="Times New Roman" w:eastAsia="Times New Roman" w:hAnsi="Times New Roman"/>
          <w:b/>
          <w:bCs/>
          <w:color w:val="3949AB"/>
          <w:sz w:val="22"/>
          <w:szCs w:val="22"/>
        </w:rPr>
        <w:t xml:space="preserve">[12]</w:t>
      </w:r>
      <w:r>
        <w:rPr>
          <w:rFonts w:ascii="Times New Roman" w:cs="Times New Roman" w:eastAsia="Times New Roman" w:hAnsi="Times New Roman"/>
          <w:color w:val="212121"/>
          <w:sz w:val="22"/>
          <w:szCs w:val="22"/>
        </w:rPr>
        <w:t xml:space="preserve">  D. Aharonov and M. Ben-Or, "Fault-tolerant quantum computation with constant error," in Proc. 29th Annu. ACM Symp. Theory Comput. (STOC), El Paso, TX, 1997, pp. 176–188.</w:t>
      </w:r>
    </w:p>
    <w:p>
      <w:pPr>
        <w:spacing w:after="120" w:before="0" w:line="276" w:lineRule="auto"/>
        <w:ind w:left="540" w:hanging="540"/>
      </w:pPr>
      <w:r>
        <w:rPr>
          <w:rFonts w:ascii="Times New Roman" w:cs="Times New Roman" w:eastAsia="Times New Roman" w:hAnsi="Times New Roman"/>
          <w:b/>
          <w:bCs/>
          <w:color w:val="3949AB"/>
          <w:sz w:val="22"/>
          <w:szCs w:val="22"/>
        </w:rPr>
        <w:t xml:space="preserve">[13]</w:t>
      </w:r>
      <w:r>
        <w:rPr>
          <w:rFonts w:ascii="Times New Roman" w:cs="Times New Roman" w:eastAsia="Times New Roman" w:hAnsi="Times New Roman"/>
          <w:color w:val="212121"/>
          <w:sz w:val="22"/>
          <w:szCs w:val="22"/>
        </w:rPr>
        <w:t xml:space="preserve">  Red Stag Labs, "Latest Breakthroughs in Quantum Computing (2024, 2025 &amp; 2026)," Jun. 15, 2026. [Online]. Available: https://redstaglabs.com/pages/latest-breakthroughs-in-quantum-computing/.</w:t>
      </w:r>
    </w:p>
    <w:p>
      <w:pPr>
        <w:spacing w:after="120" w:before="0" w:line="276" w:lineRule="auto"/>
        <w:ind w:left="540" w:hanging="540"/>
      </w:pPr>
      <w:r>
        <w:rPr>
          <w:rFonts w:ascii="Times New Roman" w:cs="Times New Roman" w:eastAsia="Times New Roman" w:hAnsi="Times New Roman"/>
          <w:b/>
          <w:bCs/>
          <w:color w:val="3949AB"/>
          <w:sz w:val="22"/>
          <w:szCs w:val="22"/>
        </w:rPr>
        <w:t xml:space="preserve">[14]</w:t>
      </w:r>
      <w:r>
        <w:rPr>
          <w:rFonts w:ascii="Times New Roman" w:cs="Times New Roman" w:eastAsia="Times New Roman" w:hAnsi="Times New Roman"/>
          <w:color w:val="212121"/>
          <w:sz w:val="22"/>
          <w:szCs w:val="22"/>
        </w:rPr>
        <w:t xml:space="preserve">  Q. Deng et al., "Realizing all-to-all connectivity with local connections in superconducting circuits: Implications for Zuchongzhi 3.2," arXiv preprint, 2025.</w:t>
      </w:r>
    </w:p>
    <w:p>
      <w:pPr>
        <w:spacing w:after="120" w:before="0" w:line="276" w:lineRule="auto"/>
        <w:ind w:left="540" w:hanging="540"/>
      </w:pPr>
      <w:r>
        <w:rPr>
          <w:rFonts w:ascii="Times New Roman" w:cs="Times New Roman" w:eastAsia="Times New Roman" w:hAnsi="Times New Roman"/>
          <w:b/>
          <w:bCs/>
          <w:color w:val="3949AB"/>
          <w:sz w:val="22"/>
          <w:szCs w:val="22"/>
        </w:rPr>
        <w:t xml:space="preserve">[15]</w:t>
      </w:r>
      <w:r>
        <w:rPr>
          <w:rFonts w:ascii="Times New Roman" w:cs="Times New Roman" w:eastAsia="Times New Roman" w:hAnsi="Times New Roman"/>
          <w:color w:val="212121"/>
          <w:sz w:val="22"/>
          <w:szCs w:val="22"/>
        </w:rPr>
        <w:t xml:space="preserve">  European Commission, "European Quantum Strategy and Quantum Flagship Programme," Quantum Flagship, Jul. 2025. [Online]. Available: https://qt.eu/.</w:t>
      </w:r>
    </w:p>
    <w:p>
      <w:pPr>
        <w:spacing w:after="120" w:before="0" w:line="276" w:lineRule="auto"/>
        <w:ind w:left="540" w:hanging="540"/>
      </w:pPr>
      <w:r>
        <w:rPr>
          <w:rFonts w:ascii="Times New Roman" w:cs="Times New Roman" w:eastAsia="Times New Roman" w:hAnsi="Times New Roman"/>
          <w:b/>
          <w:bCs/>
          <w:color w:val="3949AB"/>
          <w:sz w:val="22"/>
          <w:szCs w:val="22"/>
        </w:rPr>
        <w:t xml:space="preserve">[16]</w:t>
      </w:r>
      <w:r>
        <w:rPr>
          <w:rFonts w:ascii="Times New Roman" w:cs="Times New Roman" w:eastAsia="Times New Roman" w:hAnsi="Times New Roman"/>
          <w:color w:val="212121"/>
          <w:sz w:val="22"/>
          <w:szCs w:val="22"/>
        </w:rPr>
        <w:t xml:space="preserve">  E. Farhi, J. Goldstone, and S. Gutmann, "A quantum approximate optimization algorithm," arXiv preprint arXiv:1411.4028, 2014.</w:t>
      </w:r>
    </w:p>
    <w:p>
      <w:pPr>
        <w:spacing w:after="120" w:before="0" w:line="276" w:lineRule="auto"/>
        <w:ind w:left="540" w:hanging="540"/>
      </w:pPr>
      <w:r>
        <w:rPr>
          <w:rFonts w:ascii="Times New Roman" w:cs="Times New Roman" w:eastAsia="Times New Roman" w:hAnsi="Times New Roman"/>
          <w:b/>
          <w:bCs/>
          <w:color w:val="3949AB"/>
          <w:sz w:val="22"/>
          <w:szCs w:val="22"/>
        </w:rPr>
        <w:t xml:space="preserve">[17]</w:t>
      </w:r>
      <w:r>
        <w:rPr>
          <w:rFonts w:ascii="Times New Roman" w:cs="Times New Roman" w:eastAsia="Times New Roman" w:hAnsi="Times New Roman"/>
          <w:color w:val="212121"/>
          <w:sz w:val="22"/>
          <w:szCs w:val="22"/>
        </w:rPr>
        <w:t xml:space="preserve">  P. W. Shor, "Polynomial-time algorithms for prime factorization and discrete logarithms on a quantum computer," SIAM J. Comput., vol. 26, no. 5, pp. 1484–1509, Oct. 1997.</w:t>
      </w:r>
    </w:p>
    <w:p>
      <w:pPr>
        <w:spacing w:after="120" w:before="0" w:line="276" w:lineRule="auto"/>
        <w:ind w:left="540" w:hanging="540"/>
      </w:pPr>
      <w:r>
        <w:rPr>
          <w:rFonts w:ascii="Times New Roman" w:cs="Times New Roman" w:eastAsia="Times New Roman" w:hAnsi="Times New Roman"/>
          <w:b/>
          <w:bCs/>
          <w:color w:val="3949AB"/>
          <w:sz w:val="22"/>
          <w:szCs w:val="22"/>
        </w:rPr>
        <w:t xml:space="preserve">[18]</w:t>
      </w:r>
      <w:r>
        <w:rPr>
          <w:rFonts w:ascii="Times New Roman" w:cs="Times New Roman" w:eastAsia="Times New Roman" w:hAnsi="Times New Roman"/>
          <w:color w:val="212121"/>
          <w:sz w:val="22"/>
          <w:szCs w:val="22"/>
        </w:rPr>
        <w:t xml:space="preserve">  National Security Agency, "Commercial National Security Algorithm Suite 2.0," NSA/CSS Information Assurance Advisory, Sep. 2022. [Online]. Available: https://www.nsa.gov/csrc/cnsa/.</w:t>
      </w:r>
    </w:p>
    <w:p>
      <w:pPr>
        <w:spacing w:after="120" w:before="0" w:line="276" w:lineRule="auto"/>
        <w:ind w:left="540" w:hanging="540"/>
      </w:pPr>
      <w:r>
        <w:rPr>
          <w:rFonts w:ascii="Times New Roman" w:cs="Times New Roman" w:eastAsia="Times New Roman" w:hAnsi="Times New Roman"/>
          <w:b/>
          <w:bCs/>
          <w:color w:val="3949AB"/>
          <w:sz w:val="22"/>
          <w:szCs w:val="22"/>
        </w:rPr>
        <w:t xml:space="preserve">[19]</w:t>
      </w:r>
      <w:r>
        <w:rPr>
          <w:rFonts w:ascii="Times New Roman" w:cs="Times New Roman" w:eastAsia="Times New Roman" w:hAnsi="Times New Roman"/>
          <w:color w:val="212121"/>
          <w:sz w:val="22"/>
          <w:szCs w:val="22"/>
        </w:rPr>
        <w:t xml:space="preserve">  A. Shaw, "quantum-safe: Bridging the Post-Quantum Production Gap with a Hybrid-by-Default Python Cryptography Library," arXiv preprint arXiv:2605.17061, May 2026.</w:t>
      </w:r>
    </w:p>
    <w:p>
      <w:pPr>
        <w:spacing w:after="120" w:before="0" w:line="276" w:lineRule="auto"/>
        <w:ind w:left="540" w:hanging="540"/>
      </w:pPr>
      <w:r>
        <w:rPr>
          <w:rFonts w:ascii="Times New Roman" w:cs="Times New Roman" w:eastAsia="Times New Roman" w:hAnsi="Times New Roman"/>
          <w:b/>
          <w:bCs/>
          <w:color w:val="3949AB"/>
          <w:sz w:val="22"/>
          <w:szCs w:val="22"/>
        </w:rPr>
        <w:t xml:space="preserve">[20]</w:t>
      </w:r>
      <w:r>
        <w:rPr>
          <w:rFonts w:ascii="Times New Roman" w:cs="Times New Roman" w:eastAsia="Times New Roman" w:hAnsi="Times New Roman"/>
          <w:color w:val="212121"/>
          <w:sz w:val="22"/>
          <w:szCs w:val="22"/>
        </w:rPr>
        <w:t xml:space="preserve">  A. Aspuru-Guzik, A. D. Dutoi, P. J. Love, and M. Head-Gordon, "Simulated quantum computation of molecular energies," Science, vol. 309, no. 5741, pp. 1704–1707, 2005.</w:t>
      </w:r>
    </w:p>
    <w:p>
      <w:pPr>
        <w:spacing w:after="120" w:before="0" w:line="276" w:lineRule="auto"/>
        <w:ind w:left="540" w:hanging="540"/>
      </w:pPr>
      <w:r>
        <w:rPr>
          <w:rFonts w:ascii="Times New Roman" w:cs="Times New Roman" w:eastAsia="Times New Roman" w:hAnsi="Times New Roman"/>
          <w:b/>
          <w:bCs/>
          <w:color w:val="3949AB"/>
          <w:sz w:val="22"/>
          <w:szCs w:val="22"/>
        </w:rPr>
        <w:t xml:space="preserve">[21]</w:t>
      </w:r>
      <w:r>
        <w:rPr>
          <w:rFonts w:ascii="Times New Roman" w:cs="Times New Roman" w:eastAsia="Times New Roman" w:hAnsi="Times New Roman"/>
          <w:color w:val="212121"/>
          <w:sz w:val="22"/>
          <w:szCs w:val="22"/>
        </w:rPr>
        <w:t xml:space="preserve">  Morning Glory Sciences, "Quantum Computing × Drug Discovery — The 2026 State of the Art," May 30, 2026. [Online]. Available: https://www.morningglorysciences.com/en/quantum-computing-drug-discovery-2026-en/.</w:t>
      </w:r>
    </w:p>
    <w:p>
      <w:pPr>
        <w:spacing w:after="120" w:before="0" w:line="276" w:lineRule="auto"/>
        <w:ind w:left="540" w:hanging="540"/>
      </w:pPr>
      <w:r>
        <w:rPr>
          <w:rFonts w:ascii="Times New Roman" w:cs="Times New Roman" w:eastAsia="Times New Roman" w:hAnsi="Times New Roman"/>
          <w:b/>
          <w:bCs/>
          <w:color w:val="3949AB"/>
          <w:sz w:val="22"/>
          <w:szCs w:val="22"/>
        </w:rPr>
        <w:t xml:space="preserve">[22]</w:t>
      </w:r>
      <w:r>
        <w:rPr>
          <w:rFonts w:ascii="Times New Roman" w:cs="Times New Roman" w:eastAsia="Times New Roman" w:hAnsi="Times New Roman"/>
          <w:color w:val="212121"/>
          <w:sz w:val="22"/>
          <w:szCs w:val="22"/>
        </w:rPr>
        <w:t xml:space="preserve">  McKinsey &amp; Company, "The Quantum Revolution in Pharma: Faster, Smarter, and More Precise," McKinsey Quantum Technology Monitor, Aug. 2025. [Online]. Available: https://www.mckinsey.com/industries/life-sciences.</w:t>
      </w:r>
    </w:p>
    <w:p>
      <w:pPr>
        <w:spacing w:after="120" w:before="0" w:line="276" w:lineRule="auto"/>
        <w:ind w:left="540" w:hanging="540"/>
      </w:pPr>
      <w:r>
        <w:rPr>
          <w:rFonts w:ascii="Times New Roman" w:cs="Times New Roman" w:eastAsia="Times New Roman" w:hAnsi="Times New Roman"/>
          <w:b/>
          <w:bCs/>
          <w:color w:val="3949AB"/>
          <w:sz w:val="22"/>
          <w:szCs w:val="22"/>
        </w:rPr>
        <w:t xml:space="preserve">[23]</w:t>
      </w:r>
      <w:r>
        <w:rPr>
          <w:rFonts w:ascii="Times New Roman" w:cs="Times New Roman" w:eastAsia="Times New Roman" w:hAnsi="Times New Roman"/>
          <w:color w:val="212121"/>
          <w:sz w:val="22"/>
          <w:szCs w:val="22"/>
        </w:rPr>
        <w:t xml:space="preserve">  A. Blance and M. Spannowsky, "Quantum machine learning in drug discovery: applications in academia and pharmaceutical industries," Chem. Rev., vol. 125, no. 12, pp. 5436–5460, Jun. 2025. DOI: 10.1021/acs.chemrev.4c00678.</w:t>
      </w:r>
    </w:p>
    <w:p>
      <w:pPr>
        <w:spacing w:after="120" w:before="0" w:line="276" w:lineRule="auto"/>
        <w:ind w:left="540" w:hanging="540"/>
      </w:pPr>
      <w:r>
        <w:rPr>
          <w:rFonts w:ascii="Times New Roman" w:cs="Times New Roman" w:eastAsia="Times New Roman" w:hAnsi="Times New Roman"/>
          <w:b/>
          <w:bCs/>
          <w:color w:val="3949AB"/>
          <w:sz w:val="22"/>
          <w:szCs w:val="22"/>
        </w:rPr>
        <w:t xml:space="preserve">[24]</w:t>
      </w:r>
      <w:r>
        <w:rPr>
          <w:rFonts w:ascii="Times New Roman" w:cs="Times New Roman" w:eastAsia="Times New Roman" w:hAnsi="Times New Roman"/>
          <w:color w:val="212121"/>
          <w:sz w:val="22"/>
          <w:szCs w:val="22"/>
        </w:rPr>
        <w:t xml:space="preserve">  J. Biamonte et al., "Quantum machine learning," Nature, vol. 549, pp. 195–202, Sep. 2017. DOI: 10.1038/nature23474.</w:t>
      </w:r>
    </w:p>
    <w:p>
      <w:pPr>
        <w:spacing w:after="120" w:before="0" w:line="276" w:lineRule="auto"/>
        <w:ind w:left="540" w:hanging="540"/>
      </w:pPr>
      <w:r>
        <w:rPr>
          <w:rFonts w:ascii="Times New Roman" w:cs="Times New Roman" w:eastAsia="Times New Roman" w:hAnsi="Times New Roman"/>
          <w:b/>
          <w:bCs/>
          <w:color w:val="3949AB"/>
          <w:sz w:val="22"/>
          <w:szCs w:val="22"/>
        </w:rPr>
        <w:t xml:space="preserve">[25]</w:t>
      </w:r>
      <w:r>
        <w:rPr>
          <w:rFonts w:ascii="Times New Roman" w:cs="Times New Roman" w:eastAsia="Times New Roman" w:hAnsi="Times New Roman"/>
          <w:color w:val="212121"/>
          <w:sz w:val="22"/>
          <w:szCs w:val="22"/>
        </w:rPr>
        <w:t xml:space="preserve">  L. K. Grover, "A fast quantum mechanical algorithm for database search," in Proc. 28th Annu. ACM Symp. Theory Comput. (STOC), Philadelphia, PA, 1996, pp. 212–219.</w:t>
      </w:r>
    </w:p>
    <w:p>
      <w:pPr>
        <w:spacing w:after="120" w:before="0" w:line="276" w:lineRule="auto"/>
        <w:ind w:left="540" w:hanging="540"/>
      </w:pPr>
      <w:r>
        <w:rPr>
          <w:rFonts w:ascii="Times New Roman" w:cs="Times New Roman" w:eastAsia="Times New Roman" w:hAnsi="Times New Roman"/>
          <w:b/>
          <w:bCs/>
          <w:color w:val="3949AB"/>
          <w:sz w:val="22"/>
          <w:szCs w:val="22"/>
        </w:rPr>
        <w:t xml:space="preserve">[26]</w:t>
      </w:r>
      <w:r>
        <w:rPr>
          <w:rFonts w:ascii="Times New Roman" w:cs="Times New Roman" w:eastAsia="Times New Roman" w:hAnsi="Times New Roman"/>
          <w:color w:val="212121"/>
          <w:sz w:val="22"/>
          <w:szCs w:val="22"/>
        </w:rPr>
        <w:t xml:space="preserve">  A. Montanaro, "Quantum speedup of Monte Carlo methods," Proc. R. Soc. A, vol. 471, no. 2181, p. 20150301, Sep. 2015. DOI: 10.1098/rspa.2015.0301.</w:t>
      </w:r>
    </w:p>
    <w:p>
      <w:pPr>
        <w:spacing w:after="80"/>
      </w:pPr>
    </w:p>
    <w:p>
      <w:pPr>
        <w:spacing w:after="80"/>
      </w:pPr>
    </w:p>
    <w:p>
      <w:pPr>
        <w:pBdr>
          <w:bottom w:val="single" w:color="B0BEC5" w:sz="8" w:space="1"/>
        </w:pBdr>
        <w:spacing w:after="120" w:before="120" w:line="276" w:lineRule="auto"/>
      </w:pPr>
    </w:p>
    <w:p>
      <w:pPr>
        <w:spacing w:after="80"/>
      </w:pPr>
    </w:p>
    <w:p>
      <w:pPr>
        <w:spacing w:after="80"/>
        <w:jc w:val="center"/>
      </w:pPr>
      <w:r>
        <w:rPr>
          <w:rFonts w:ascii="Times New Roman" w:cs="Times New Roman" w:eastAsia="Times New Roman" w:hAnsi="Times New Roman"/>
          <w:i/>
          <w:iCs/>
          <w:color w:val="90A4AE"/>
          <w:sz w:val="18"/>
          <w:szCs w:val="18"/>
        </w:rPr>
        <w:t xml:space="preserve">© 2026 Darshan Hudeda. Published under Creative Commons Attribution 4.0 International Licence (CC BY 4.0). International Journal of Emerging Computing Technologies.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6" w:space="1"/>
      </w:pBdr>
      <w:spacing w:before="80"/>
      <w:jc w:val="center"/>
    </w:pPr>
    <w:r>
      <w:rPr>
        <w:rFonts w:ascii="Times New Roman" w:cs="Times New Roman" w:eastAsia="Times New Roman" w:hAnsi="Times New Roman"/>
        <w:color w:val="90A4AE"/>
        <w:sz w:val="18"/>
        <w:szCs w:val="18"/>
      </w:rPr>
      <w:t xml:space="preserve">Hudeda, D. (2026). Vol. 7, No. 2  |  </w:t>
    </w:r>
    <w:r>
      <w:rPr>
        <w:rFonts w:ascii="Times New Roman" w:cs="Times New Roman" w:eastAsia="Times New Roman" w:hAnsi="Times New Roman"/>
        <w:color w:val="90A4AE"/>
        <w:sz w:val="18"/>
        <w:szCs w:val="18"/>
      </w:rPr>
      <w:t xml:space="preserve">Page </w:t>
    </w:r>
    <w:r>
      <w:rPr>
        <w:rFonts w:ascii="Times New Roman" w:cs="Times New Roman" w:eastAsia="Times New Roman" w:hAnsi="Times New Roman"/>
        <w:color w:val="3949AB"/>
        <w:sz w:val="18"/>
        <w:szCs w:val="18"/>
      </w:rPr>
      <w:fldChar w:fldCharType="begin"/>
      <w:instrText xml:space="preserve">PAGE</w:instrText>
      <w:fldChar w:fldCharType="separate"/>
      <w:fldChar w:fldCharType="end"/>
    </w:r>
    <w:r>
      <w:rPr>
        <w:rFonts w:ascii="Times New Roman" w:cs="Times New Roman" w:eastAsia="Times New Roman" w:hAnsi="Times New Roman"/>
        <w:color w:val="90A4AE"/>
        <w:sz w:val="18"/>
        <w:szCs w:val="18"/>
      </w:rPr>
      <w:t xml:space="preserve"> of </w:t>
    </w:r>
    <w:r>
      <w:rPr>
        <w:rFonts w:ascii="Times New Roman" w:cs="Times New Roman" w:eastAsia="Times New Roman" w:hAnsi="Times New Roman"/>
        <w:color w:val="3949A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949AB" w:sz="6" w:space="1"/>
      </w:pBdr>
      <w:spacing w:after="80"/>
    </w:pPr>
    <w:r>
      <w:rPr>
        <w:rFonts w:ascii="Calibri" w:cs="Calibri" w:eastAsia="Calibri" w:hAnsi="Calibri"/>
        <w:color w:val="3949AB"/>
        <w:sz w:val="18"/>
        <w:szCs w:val="18"/>
      </w:rPr>
      <w:t xml:space="preserve">Int. J. Emerg. Comput. Technol.  |  </w:t>
    </w:r>
    <w:r>
      <w:rPr>
        <w:rFonts w:ascii="Calibri" w:cs="Calibri" w:eastAsia="Calibri" w:hAnsi="Calibri"/>
        <w:i/>
        <w:iCs/>
        <w:color w:val="607D8B"/>
        <w:sz w:val="18"/>
        <w:szCs w:val="18"/>
      </w:rPr>
      <w:t xml:space="preserve">Beyond Classical Limits: Quantum Technologies and the Road to a Fault-Tolerant Future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pPr>
    <w:rPr>
      <w:rFonts w:ascii="Calibri" w:cs="Calibri" w:eastAsia="Calibri" w:hAnsi="Calibri"/>
      <w:b/>
      <w:bCs/>
      <w:color w:val="1A237E"/>
      <w:sz w:val="32"/>
      <w:szCs w:val="32"/>
    </w:rPr>
  </w:style>
  <w:style w:type="paragraph" w:styleId="Heading2">
    <w:name w:val="Heading 2"/>
    <w:basedOn w:val="Normal"/>
    <w:next w:val="Normal"/>
    <w:pPr>
      <w:spacing w:after="80" w:before="200"/>
    </w:pPr>
    <w:rPr>
      <w:rFonts w:ascii="Calibri" w:cs="Calibri" w:eastAsia="Calibri" w:hAnsi="Calibri"/>
      <w:b/>
      <w:bCs/>
      <w:color w:val="283593"/>
      <w:sz w:val="26"/>
      <w:szCs w:val="26"/>
    </w:rPr>
  </w:style>
  <w:style w:type="paragraph" w:styleId="Heading3">
    <w:name w:val="Heading 3"/>
    <w:basedOn w:val="Normal"/>
    <w:next w:val="Normal"/>
    <w:pPr>
      <w:spacing w:after="60" w:before="160"/>
    </w:pPr>
    <w:rPr>
      <w:rFonts w:ascii="Calibri" w:cs="Calibri" w:eastAsia="Calibri" w:hAnsi="Calibri"/>
      <w:b/>
      <w:bCs/>
      <w:color w:val="3949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Classical Limits: Quantum Technologies and the Road to Fault-Tolerant Computing</dc:title>
  <dc:creator>Darshan Hudeda</dc:creator>
  <dc:description>Research journal paper on quantum computing applications, hardware, PQC, and future outlook</dc:description>
  <cp:lastModifiedBy>Un-named</cp:lastModifiedBy>
  <cp:revision>1</cp:revision>
  <dcterms:created xsi:type="dcterms:W3CDTF">2026-07-16T08:45:46.335Z</dcterms:created>
  <dcterms:modified xsi:type="dcterms:W3CDTF">2026-07-16T08:45:46.348Z</dcterms:modified>
</cp:coreProperties>
</file>

<file path=docProps/custom.xml><?xml version="1.0" encoding="utf-8"?>
<Properties xmlns="http://schemas.openxmlformats.org/officeDocument/2006/custom-properties" xmlns:vt="http://schemas.openxmlformats.org/officeDocument/2006/docPropsVTypes"/>
</file>