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02C57"/>
          <w:sz w:val="40"/>
        </w:rPr>
        <w:t>PROJECT 05: CAREER GUIDANCE APP FOR STUDENTS - AI ASSISTED</w:t>
      </w:r>
    </w:p>
    <w:p>
      <w:pPr>
        <w:spacing w:after="360"/>
      </w:pPr>
      <w:r>
        <w:rPr>
          <w:i/>
          <w:color w:val="64748B"/>
          <w:sz w:val="22"/>
        </w:rPr>
        <w:t>Academic &amp; Enterprise Implementation Specification  |  Project 5 of 55</w:t>
      </w:r>
    </w:p>
    <w:p>
      <w:pPr>
        <w:pStyle w:val="Heading1"/>
        <w:spacing w:before="240" w:after="120"/>
      </w:pPr>
      <w:r>
        <w:t>1. Executive Abstract</w:t>
      </w:r>
    </w:p>
    <w:p>
      <w:pPr>
        <w:spacing w:line="276" w:lineRule="auto" w:after="280"/>
      </w:pPr>
      <w:r>
        <w:t>In response to the complex challenges students encounter in navigating their career paths, our innovative approach integrates AI assistance into career guidance. By utilizing Support Vector Machine (SVM) algorithms, we enhance interaction and efficiency within the guidance process. Our model ensures high accuracy and predictive capabilities, enabling precise recommendations for career trajectories. The efficiency techniques embedded in our model contribute to its accuracy, ensuring students receive reliable guidance tailored to their unique interests and skills. With this AI-assisted approach, we aim to provide students with the tools and resources needed to confidently navigate the dynamic job market and make informed decisions about their future careers.</w:t>
      </w:r>
    </w:p>
    <w:p>
      <w:pPr>
        <w:pStyle w:val="Heading1"/>
        <w:spacing w:before="280" w:after="120"/>
      </w:pPr>
      <w:r>
        <w:t>2. Phase 1 — Requirements, Data &amp; Baseline Prototype</w:t>
      </w:r>
    </w:p>
    <w:p>
      <w:pPr>
        <w:pStyle w:val="Heading2"/>
      </w:pPr>
      <w:r>
        <w:t>2.1 Problem Definition &amp; Operational Scope</w:t>
      </w:r>
    </w:p>
    <w:p>
      <w:r>
        <w:t>The system operational scenario specifies autonomous real-time processing of incoming telemetry, video, or data inputs. Input boundaries, anomaly thresholds, and deterministic validation guardrails are enforced prior to inference. Erroneous or out-of-distribution inputs are rejected with low confidence score logs to safeguard downstream decision-making.</w:t>
      </w:r>
    </w:p>
    <w:p>
      <w:pPr>
        <w:pStyle w:val="Heading2"/>
      </w:pPr>
      <w:r>
        <w:t>2.2 Data Pipeline &amp; Preprocessing</w:t>
      </w:r>
    </w:p>
    <w:p>
      <w:r>
        <w:t>A structured feature dictionary maps raw sensor or domain variables to standardized tensor representations. Missing indicators, standardization (z-score scaling / min-max), outlier winsorization, and class balancing ensure leak-free cross-validation across training, testing, and validation splits.</w:t>
      </w:r>
    </w:p>
    <w:p>
      <w:pPr>
        <w:pStyle w:val="Heading2"/>
      </w:pPr>
      <w:r>
        <w:t>2.3 Baseline Model &amp; Reference Experiments</w:t>
      </w:r>
    </w:p>
    <w:p>
      <w:r>
        <w:t>An interpretable baseline algorithm establishes benchmark performance criteria prior to deep neural optimization. Hyperparameters, random initialization seeds, loss convergence curves, and baseline latencies are systematically logged.</w:t>
      </w:r>
    </w:p>
    <w:p>
      <w:pPr>
        <w:pStyle w:val="Heading1"/>
        <w:spacing w:before="280" w:after="120"/>
      </w:pPr>
      <w:r>
        <w:t>3. Phase 2 — Deep Learning Optimization &amp; System Integration</w:t>
      </w:r>
    </w:p>
    <w:p>
      <w:pPr>
        <w:pStyle w:val="Heading2"/>
      </w:pPr>
      <w:r>
        <w:t>3.1 Neural Architecture &amp; Model Refinement</w:t>
      </w:r>
    </w:p>
    <w:p>
      <w:r>
        <w:t>Advanced neural architectures (transfer learning, attention mechanisms, temporal convolutions, or recurrent encoders) are tuned with Bayesian hyperparameter sweeps. Regularization (dropout, weight decay, gradient clipping) prevents overfitting.</w:t>
      </w:r>
    </w:p>
    <w:p>
      <w:pPr>
        <w:pStyle w:val="Heading2"/>
      </w:pPr>
      <w:r>
        <w:t>3.2 Full-Stack Integration &amp; Architecture</w:t>
      </w:r>
    </w:p>
    <w:p>
      <w:r>
        <w:t>The microservice architecture incorporates a high-performance asynchronous REST API Gateway (FastAPI / Express), an automated database persistence layer (SQLite / PostgreSQL), and a responsive analytical dashboard for monitoring.</w:t>
      </w:r>
    </w:p>
    <w:p>
      <w:pPr>
        <w:pStyle w:val="Heading1"/>
        <w:spacing w:before="280" w:after="120"/>
      </w:pPr>
      <w:r>
        <w:t>4. Technical Specifications &amp; Environment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Project Identifier</w:t>
            </w:r>
          </w:p>
        </w:tc>
        <w:tc>
          <w:tcPr>
            <w:tcW w:type="dxa" w:w="4320"/>
          </w:tcPr>
          <w:p>
            <w:r>
              <w:t>Project 05 of 55</w:t>
            </w:r>
          </w:p>
        </w:tc>
      </w:tr>
      <w:tr>
        <w:tc>
          <w:tcPr>
            <w:tcW w:type="dxa" w:w="4320"/>
          </w:tcPr>
          <w:p>
            <w:r>
              <w:rPr>
                <w:b/>
              </w:rPr>
              <w:t>Default Service Port</w:t>
            </w:r>
          </w:p>
        </w:tc>
        <w:tc>
          <w:tcPr>
            <w:tcW w:type="dxa" w:w="4320"/>
          </w:tcPr>
          <w:p>
            <w:r>
              <w:t>http://localhost:5005</w:t>
            </w:r>
          </w:p>
        </w:tc>
      </w:tr>
      <w:tr>
        <w:tc>
          <w:tcPr>
            <w:tcW w:type="dxa" w:w="4320"/>
          </w:tcPr>
          <w:p>
            <w:r>
              <w:rPr>
                <w:b/>
              </w:rPr>
              <w:t>Primary Backend Framework</w:t>
            </w:r>
          </w:p>
        </w:tc>
        <w:tc>
          <w:tcPr>
            <w:tcW w:type="dxa" w:w="4320"/>
          </w:tcPr>
          <w:p>
            <w:r>
              <w:t>Python 3.10+ / FastAPI / PyTorch / Scikit-learn</w:t>
            </w:r>
          </w:p>
        </w:tc>
      </w:tr>
      <w:tr>
        <w:tc>
          <w:tcPr>
            <w:tcW w:type="dxa" w:w="4320"/>
          </w:tcPr>
          <w:p>
            <w:r>
              <w:rPr>
                <w:b/>
              </w:rPr>
              <w:t>Frontend Interface</w:t>
            </w:r>
          </w:p>
        </w:tc>
        <w:tc>
          <w:tcPr>
            <w:tcW w:type="dxa" w:w="4320"/>
          </w:tcPr>
          <w:p>
            <w:r>
              <w:t>Interactive Web Portal (HTML5, Tailwind/CSS, Modern JS)</w:t>
            </w:r>
          </w:p>
        </w:tc>
      </w:tr>
      <w:tr>
        <w:tc>
          <w:tcPr>
            <w:tcW w:type="dxa" w:w="4320"/>
          </w:tcPr>
          <w:p>
            <w:r>
              <w:rPr>
                <w:b/>
              </w:rPr>
              <w:t>Evaluation Metrics</w:t>
            </w:r>
          </w:p>
        </w:tc>
        <w:tc>
          <w:tcPr>
            <w:tcW w:type="dxa" w:w="4320"/>
          </w:tcPr>
          <w:p>
            <w:r>
              <w:t>Accuracy (&gt;=93%), F1-Score (&gt;=0.91), Latency (&lt;35ms)</w:t>
            </w:r>
          </w:p>
        </w:tc>
      </w:tr>
      <w:tr>
        <w:tc>
          <w:tcPr>
            <w:tcW w:type="dxa" w:w="4320"/>
          </w:tcPr>
          <w:p>
            <w:r>
              <w:rPr>
                <w:b/>
              </w:rPr>
              <w:t>Deployment Options</w:t>
            </w:r>
          </w:p>
        </w:tc>
        <w:tc>
          <w:tcPr>
            <w:tcW w:type="dxa" w:w="4320"/>
          </w:tcPr>
          <w:p>
            <w:r>
              <w:t>Local Python Virtualenv, Docker Container, Edge IoT Device</w:t>
            </w:r>
          </w:p>
        </w:tc>
      </w:tr>
    </w:tbl>
    <w:p>
      <w:pPr>
        <w:pStyle w:val="Heading1"/>
        <w:spacing w:before="280" w:after="120"/>
      </w:pPr>
      <w:r>
        <w:t>5. Setup &amp; Operational Verification</w:t>
      </w:r>
    </w:p>
    <w:p>
      <w:r>
        <w:t>1. Navigate to the project root directory.</w:t>
        <w:br/>
        <w:t>2. Install required dependencies: pip install -r requirements.txt</w:t>
        <w:br/>
        <w:t>3. Launch the application from source_code/:</w:t>
        <w:br/>
        <w:t xml:space="preserve">   - Python backend: python source_code/backend/main.py (or run_system.py / app.py)</w:t>
        <w:br/>
        <w:t xml:space="preserve">   - Frontend UI: Open source_code/frontend/index.html in any modern browser</w:t>
        <w:br/>
        <w:t>4. Verify endpoint health by querying GET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