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06: CHILD GAIT PREDICTION USING MACHINE LEARNING AND STREAMLIT</w:t>
      </w:r>
    </w:p>
    <w:p>
      <w:pPr>
        <w:spacing w:after="360"/>
      </w:pPr>
      <w:r>
        <w:rPr>
          <w:i/>
          <w:color w:val="64748B"/>
          <w:sz w:val="22"/>
        </w:rPr>
        <w:t>Academic &amp; Enterprise Implementation Specification  |  Project 6 of 55</w:t>
      </w:r>
    </w:p>
    <w:p>
      <w:pPr>
        <w:pStyle w:val="Heading1"/>
        <w:spacing w:before="240" w:after="120"/>
      </w:pPr>
      <w:r>
        <w:t>1. Executive Abstract</w:t>
      </w:r>
    </w:p>
    <w:p>
      <w:pPr>
        <w:spacing w:line="276" w:lineRule="auto" w:after="280"/>
      </w:pPr>
      <w:r>
        <w:t>"Child gait analysis plays a vital role in understanding the motor development, mobility patterns, and potential walking disorders in toddlers. Traditional methods for gait assessment are often manual, time-consuming, and require specialized equipment or clinical expertise, making early detection and monitoring challenging. To address this, the Child Gait Prediction system has been developed as a Python Streamlit application that leverages machine learning techniques to predict the type of gait in toddlers based on measurable parameters such as heel pressure, toe pressure, tilt angle, step duration, stride length, and walking speed. The system features an interactive interface where users can input these gait parameters through easily adjustable fields. Upon submission, the machine learning model processes the input and provides an immediate prediction of the gait type, such as Diplegic, Hemiplegic, or Normal, along with the model’s accuracy. The application provides a user-friendly, visual, and accessible tool for parents, caregivers, and clinicians to assess a child’s gait in a non-intrusive manner.</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06 of 55</w:t>
            </w:r>
          </w:p>
        </w:tc>
      </w:tr>
      <w:tr>
        <w:tc>
          <w:tcPr>
            <w:tcW w:type="dxa" w:w="4320"/>
          </w:tcPr>
          <w:p>
            <w:r>
              <w:rPr>
                <w:b/>
              </w:rPr>
              <w:t>Default Service Port</w:t>
            </w:r>
          </w:p>
        </w:tc>
        <w:tc>
          <w:tcPr>
            <w:tcW w:type="dxa" w:w="4320"/>
          </w:tcPr>
          <w:p>
            <w:r>
              <w:t>http://localhost:5006</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