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08: CUSTOMER CHURN PREDICTION SYSTEM: A MACHINE LEARNING APPROACH</w:t>
      </w:r>
    </w:p>
    <w:p>
      <w:pPr>
        <w:spacing w:after="360"/>
      </w:pPr>
      <w:r>
        <w:rPr>
          <w:i/>
          <w:color w:val="64748B"/>
          <w:sz w:val="22"/>
        </w:rPr>
        <w:t>Academic &amp; Enterprise Implementation Specification  |  Project 8 of 55</w:t>
      </w:r>
    </w:p>
    <w:p>
      <w:pPr>
        <w:pStyle w:val="Heading1"/>
        <w:spacing w:before="240" w:after="120"/>
      </w:pPr>
      <w:r>
        <w:t>1. Executive Abstract</w:t>
      </w:r>
    </w:p>
    <w:p>
      <w:pPr>
        <w:spacing w:line="276" w:lineRule="auto" w:after="280"/>
      </w:pPr>
      <w:r>
        <w:t>The customer churn prediction (CCP) is one of the challenging problems in the telecom industry. With the advancement in the field of machine learning and artificial intelligence, the possibilities to predict customer churn has increased significantly. Our proposed methodology, consists of six phases. In the first two phases, data pre-processing and feature analysis is performed. In the third phase, feature selection is taken into consideration using gravitational search algorithm. Next, the data has been split into two parts train and test set in the ratio of 80% and 20% respectively. In the prediction process, most popular predictive models have been applied, namely, logistic regression, naive bayes, support vector machine, random forest, decision trees, etc. on train set as well as boosting and ensemble techniques are applied to see the effect on accuracy of models. In addition, K-fold cross validation has been used over train set for hyper parameter tuning and to prevent over fitting of models. Finally, the obtained results on test set have been evaluated using confusion matrix and AUC curve.</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08 of 55</w:t>
            </w:r>
          </w:p>
        </w:tc>
      </w:tr>
      <w:tr>
        <w:tc>
          <w:tcPr>
            <w:tcW w:type="dxa" w:w="4320"/>
          </w:tcPr>
          <w:p>
            <w:r>
              <w:rPr>
                <w:b/>
              </w:rPr>
              <w:t>Default Service Port</w:t>
            </w:r>
          </w:p>
        </w:tc>
        <w:tc>
          <w:tcPr>
            <w:tcW w:type="dxa" w:w="4320"/>
          </w:tcPr>
          <w:p>
            <w:r>
              <w:t>http://localhost:5008</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