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b/>
          <w:color w:val="102C57"/>
          <w:sz w:val="40"/>
        </w:rPr>
        <w:t>PROJECT 11: DEEP LEARNING BASED PARKINSON’S DISEASE DIAGNOSIS THROUGH RECURRENT NEURAL NETWORKS WITH INCEPTION NET MODELS</w:t>
      </w:r>
    </w:p>
    <w:p>
      <w:pPr>
        <w:spacing w:after="360"/>
      </w:pPr>
      <w:r>
        <w:rPr>
          <w:i/>
          <w:color w:val="64748B"/>
          <w:sz w:val="22"/>
        </w:rPr>
        <w:t>Academic &amp; Enterprise Implementation Specification  |  Project 11 of 55</w:t>
      </w:r>
    </w:p>
    <w:p>
      <w:pPr>
        <w:pStyle w:val="Heading1"/>
        <w:spacing w:before="240" w:after="120"/>
      </w:pPr>
      <w:r>
        <w:t>1. Executive Abstract</w:t>
      </w:r>
    </w:p>
    <w:p>
      <w:pPr>
        <w:spacing w:line="276" w:lineRule="auto" w:after="280"/>
      </w:pPr>
      <w:r>
        <w:t>Long Short-Term Memory (LSTM) networks are a leading model for Computer-Aided Diagnosis (CAD) systems because they are highly regarded in deep learning (DL) and have shown promising results in medical dataset processing. In addition to Parkinson's Disease (PD), which is commonly diagnosed with Single Photon Emission Computed Tomography (SPECT) scans, their value extends to the detection of neurological disorders. However, relying entirely on visual assessment of SPECT datasets during medical tests can lead to errors due to subjective considerations. To address this issue, we propose a CAD system that utilizes pre-trained LSTM models, the Deep Learning (DL) approach, and the Bilinear Pooling method. Inception Net models and a custom LSTM architecture are incorporated into this study. These pre-trained architectures were developed using the DL approach after being trained on the Inception Net. Three Bilinear LSTM models are produced by combining these architectures with bilinear pooling techniques. These models are applied to three distinct datasets of pre-processed SPECT imaging data from PD patients and Healthy Controls (HC).</w:t>
      </w:r>
    </w:p>
    <w:p>
      <w:pPr>
        <w:pStyle w:val="Heading1"/>
        <w:spacing w:before="280" w:after="120"/>
      </w:pPr>
      <w:r>
        <w:t>2. Phase 1 — Requirements, Data &amp; Baseline Prototype</w:t>
      </w:r>
    </w:p>
    <w:p>
      <w:pPr>
        <w:pStyle w:val="Heading2"/>
      </w:pPr>
      <w:r>
        <w:t>2.1 Problem Definition &amp; Operational Scope</w:t>
      </w:r>
    </w:p>
    <w:p>
      <w:r>
        <w:t>The system operational scenario specifies autonomous real-time processing of incoming telemetry, video, or data inputs. Input boundaries, anomaly thresholds, and deterministic validation guardrails are enforced prior to inference. Erroneous or out-of-distribution inputs are rejected with low confidence score logs to safeguard downstream decision-making.</w:t>
      </w:r>
    </w:p>
    <w:p>
      <w:pPr>
        <w:pStyle w:val="Heading2"/>
      </w:pPr>
      <w:r>
        <w:t>2.2 Data Pipeline &amp; Preprocessing</w:t>
      </w:r>
    </w:p>
    <w:p>
      <w:r>
        <w:t>A structured feature dictionary maps raw sensor or domain variables to standardized tensor representations. Missing indicators, standardization (z-score scaling / min-max), outlier winsorization, and class balancing ensure leak-free cross-validation across training, testing, and validation splits.</w:t>
      </w:r>
    </w:p>
    <w:p>
      <w:pPr>
        <w:pStyle w:val="Heading2"/>
      </w:pPr>
      <w:r>
        <w:t>2.3 Baseline Model &amp; Reference Experiments</w:t>
      </w:r>
    </w:p>
    <w:p>
      <w:r>
        <w:t>An interpretable baseline algorithm establishes benchmark performance criteria prior to deep neural optimization. Hyperparameters, random initialization seeds, loss convergence curves, and baseline latencies are systematically logged.</w:t>
      </w:r>
    </w:p>
    <w:p>
      <w:pPr>
        <w:pStyle w:val="Heading1"/>
        <w:spacing w:before="280" w:after="120"/>
      </w:pPr>
      <w:r>
        <w:t>3. Phase 2 — Deep Learning Optimization &amp; System Integration</w:t>
      </w:r>
    </w:p>
    <w:p>
      <w:pPr>
        <w:pStyle w:val="Heading2"/>
      </w:pPr>
      <w:r>
        <w:t>3.1 Neural Architecture &amp; Model Refinement</w:t>
      </w:r>
    </w:p>
    <w:p>
      <w:r>
        <w:t>Advanced neural architectures (transfer learning, attention mechanisms, temporal convolutions, or recurrent encoders) are tuned with Bayesian hyperparameter sweeps. Regularization (dropout, weight decay, gradient clipping) prevents overfitting.</w:t>
      </w:r>
    </w:p>
    <w:p>
      <w:pPr>
        <w:pStyle w:val="Heading2"/>
      </w:pPr>
      <w:r>
        <w:t>3.2 Full-Stack Integration &amp; Architecture</w:t>
      </w:r>
    </w:p>
    <w:p>
      <w:r>
        <w:t>The microservice architecture incorporates a high-performance asynchronous REST API Gateway (FastAPI / Express), an automated database persistence layer (SQLite / PostgreSQL), and a responsive analytical dashboard for monitoring.</w:t>
      </w:r>
    </w:p>
    <w:p>
      <w:pPr>
        <w:pStyle w:val="Heading1"/>
        <w:spacing w:before="280" w:after="120"/>
      </w:pPr>
      <w:r>
        <w:t>4. Technical Specifications &amp; Environment</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Project Identifier</w:t>
            </w:r>
          </w:p>
        </w:tc>
        <w:tc>
          <w:tcPr>
            <w:tcW w:type="dxa" w:w="4320"/>
          </w:tcPr>
          <w:p>
            <w:r>
              <w:t>Project 11 of 55</w:t>
            </w:r>
          </w:p>
        </w:tc>
      </w:tr>
      <w:tr>
        <w:tc>
          <w:tcPr>
            <w:tcW w:type="dxa" w:w="4320"/>
          </w:tcPr>
          <w:p>
            <w:r>
              <w:rPr>
                <w:b/>
              </w:rPr>
              <w:t>Default Service Port</w:t>
            </w:r>
          </w:p>
        </w:tc>
        <w:tc>
          <w:tcPr>
            <w:tcW w:type="dxa" w:w="4320"/>
          </w:tcPr>
          <w:p>
            <w:r>
              <w:t>http://localhost:5011</w:t>
            </w:r>
          </w:p>
        </w:tc>
      </w:tr>
      <w:tr>
        <w:tc>
          <w:tcPr>
            <w:tcW w:type="dxa" w:w="4320"/>
          </w:tcPr>
          <w:p>
            <w:r>
              <w:rPr>
                <w:b/>
              </w:rPr>
              <w:t>Primary Backend Framework</w:t>
            </w:r>
          </w:p>
        </w:tc>
        <w:tc>
          <w:tcPr>
            <w:tcW w:type="dxa" w:w="4320"/>
          </w:tcPr>
          <w:p>
            <w:r>
              <w:t>Python 3.10+ / FastAPI / PyTorch / Scikit-learn</w:t>
            </w:r>
          </w:p>
        </w:tc>
      </w:tr>
      <w:tr>
        <w:tc>
          <w:tcPr>
            <w:tcW w:type="dxa" w:w="4320"/>
          </w:tcPr>
          <w:p>
            <w:r>
              <w:rPr>
                <w:b/>
              </w:rPr>
              <w:t>Frontend Interface</w:t>
            </w:r>
          </w:p>
        </w:tc>
        <w:tc>
          <w:tcPr>
            <w:tcW w:type="dxa" w:w="4320"/>
          </w:tcPr>
          <w:p>
            <w:r>
              <w:t>Interactive Web Portal (HTML5, Tailwind/CSS, Modern JS)</w:t>
            </w:r>
          </w:p>
        </w:tc>
      </w:tr>
      <w:tr>
        <w:tc>
          <w:tcPr>
            <w:tcW w:type="dxa" w:w="4320"/>
          </w:tcPr>
          <w:p>
            <w:r>
              <w:rPr>
                <w:b/>
              </w:rPr>
              <w:t>Evaluation Metrics</w:t>
            </w:r>
          </w:p>
        </w:tc>
        <w:tc>
          <w:tcPr>
            <w:tcW w:type="dxa" w:w="4320"/>
          </w:tcPr>
          <w:p>
            <w:r>
              <w:t>Accuracy (&gt;=93%), F1-Score (&gt;=0.91), Latency (&lt;35ms)</w:t>
            </w:r>
          </w:p>
        </w:tc>
      </w:tr>
      <w:tr>
        <w:tc>
          <w:tcPr>
            <w:tcW w:type="dxa" w:w="4320"/>
          </w:tcPr>
          <w:p>
            <w:r>
              <w:rPr>
                <w:b/>
              </w:rPr>
              <w:t>Deployment Options</w:t>
            </w:r>
          </w:p>
        </w:tc>
        <w:tc>
          <w:tcPr>
            <w:tcW w:type="dxa" w:w="4320"/>
          </w:tcPr>
          <w:p>
            <w:r>
              <w:t>Local Python Virtualenv, Docker Container, Edge IoT Device</w:t>
            </w:r>
          </w:p>
        </w:tc>
      </w:tr>
    </w:tbl>
    <w:p>
      <w:pPr>
        <w:pStyle w:val="Heading1"/>
        <w:spacing w:before="280" w:after="120"/>
      </w:pPr>
      <w:r>
        <w:t>5. Setup &amp; Operational Verification</w:t>
      </w:r>
    </w:p>
    <w:p>
      <w:r>
        <w:t>1. Navigate to the project root directory.</w:t>
        <w:br/>
        <w:t>2. Install required dependencies: pip install -r requirements.txt</w:t>
        <w:br/>
        <w:t>3. Launch the application from source_code/:</w:t>
        <w:br/>
        <w:t xml:space="preserve">   - Python backend: python source_code/backend/main.py (or run_system.py / app.py)</w:t>
        <w:br/>
        <w:t xml:space="preserve">   - Frontend UI: Open source_code/frontend/index.html in any modern browser</w:t>
        <w:br/>
        <w:t>4. Verify endpoint health by querying GET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