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13: EMPIRICAL ANALYSIS FOR CRIME PREDICTION AND FORECASTING USING MACHINE LEARNING AND DEEP LEARNING TECHNIQUES</w:t>
      </w:r>
    </w:p>
    <w:p>
      <w:pPr>
        <w:spacing w:after="360"/>
      </w:pPr>
      <w:r>
        <w:rPr>
          <w:i/>
          <w:color w:val="64748B"/>
          <w:sz w:val="22"/>
        </w:rPr>
        <w:t>Academic &amp; Enterprise Implementation Specification  |  Project 13 of 55</w:t>
      </w:r>
    </w:p>
    <w:p>
      <w:pPr>
        <w:pStyle w:val="Heading1"/>
        <w:spacing w:before="240" w:after="120"/>
      </w:pPr>
      <w:r>
        <w:t>1. Executive Abstract</w:t>
      </w:r>
    </w:p>
    <w:p>
      <w:pPr>
        <w:spacing w:line="276" w:lineRule="auto" w:after="280"/>
      </w:pPr>
      <w:r>
        <w:t>Crime forecasting is one of the most wanted possible forecasts, as it could lead to fewercrimes and fewer police forces to secure threatened areas. However, predicting whenand where crime will happen is challenging. Even modern predictive policing methodsdon’t provide a reasonable or accurate approximation to forecast crimes. It has a longhistory of experiments and tests to reduce and to prevent crime. Deep Learning is arelatively new machine learning topic, which achieved state-of-the-art performance inmany tasks and slowly but surely changes the machine learning area. For a few tasks,it is even better than the human himself This success leads to the questions "Is deep learning able to forecast crime as ac-curate or even better as a human?" and "How to forecast crime using deep learningtechniques?".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13 of 55</w:t>
            </w:r>
          </w:p>
        </w:tc>
      </w:tr>
      <w:tr>
        <w:tc>
          <w:tcPr>
            <w:tcW w:type="dxa" w:w="4320"/>
          </w:tcPr>
          <w:p>
            <w:r>
              <w:rPr>
                <w:b/>
              </w:rPr>
              <w:t>Default Service Port</w:t>
            </w:r>
          </w:p>
        </w:tc>
        <w:tc>
          <w:tcPr>
            <w:tcW w:type="dxa" w:w="4320"/>
          </w:tcPr>
          <w:p>
            <w:r>
              <w:t>http://localhost:5013</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