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15: HEART DISEASE PREDICTION</w:t>
      </w:r>
    </w:p>
    <w:p>
      <w:pPr>
        <w:spacing w:after="360"/>
      </w:pPr>
      <w:r>
        <w:rPr>
          <w:i/>
          <w:color w:val="64748B"/>
          <w:sz w:val="22"/>
        </w:rPr>
        <w:t>Academic &amp; Enterprise Implementation Specification  |  Project 15 of 55</w:t>
      </w:r>
    </w:p>
    <w:p>
      <w:pPr>
        <w:pStyle w:val="Heading1"/>
        <w:spacing w:before="240" w:after="120"/>
      </w:pPr>
      <w:r>
        <w:t>1. Executive Abstract</w:t>
      </w:r>
    </w:p>
    <w:p>
      <w:pPr>
        <w:spacing w:line="276" w:lineRule="auto" w:after="280"/>
      </w:pPr>
      <w:r>
        <w:t>This project presents an intelligent system for the early detection and classification of heart disease using advanced machine learning and deep learning techniques. The model is developed by utilizing patient health data such as age, blood pressure, cholesterol levels, and other clinical parameters to identify potential cardiovascular risks. Data preprocessing methods, including normalization and feature selection, are applied to improve model performance. The system leverages algorithms such as Convolutional Neural Networks (CNN) and Long Short-Term Memory (LSTM) to analyze complex patterns in the dataset and provide accurate predictions. Additionally, the proposed model incorporates a user-friendly interface that allows healthcare professionals to input patient data and receive real-time diagnostic insights. This approach aims to assist in early intervention, reduce the risk of severe cardiac events, and support medical decision-making with reliable and efficient predictions.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15 of 55</w:t>
            </w:r>
          </w:p>
        </w:tc>
      </w:tr>
      <w:tr>
        <w:tc>
          <w:tcPr>
            <w:tcW w:type="dxa" w:w="4320"/>
          </w:tcPr>
          <w:p>
            <w:r>
              <w:rPr>
                <w:b/>
              </w:rPr>
              <w:t>Default Service Port</w:t>
            </w:r>
          </w:p>
        </w:tc>
        <w:tc>
          <w:tcPr>
            <w:tcW w:type="dxa" w:w="4320"/>
          </w:tcPr>
          <w:p>
            <w:r>
              <w:t>http://localhost:5015</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